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
        <w:gridCol w:w="2430"/>
        <w:gridCol w:w="2430"/>
        <w:gridCol w:w="30"/>
        <w:gridCol w:w="2400"/>
      </w:tblGrid>
      <w:tr w:rsidR="008B0E2C" w14:paraId="6CE1D628" w14:textId="77777777">
        <w:tblPrEx>
          <w:tblCellMar>
            <w:top w:w="0" w:type="dxa"/>
            <w:bottom w:w="0" w:type="dxa"/>
          </w:tblCellMar>
        </w:tblPrEx>
        <w:tc>
          <w:tcPr>
            <w:tcW w:w="9720" w:type="dxa"/>
            <w:gridSpan w:val="6"/>
            <w:tcBorders>
              <w:top w:val="none" w:sz="0" w:space="0" w:color="FFFFFF"/>
              <w:left w:val="none" w:sz="0" w:space="0" w:color="FFFFFF"/>
              <w:bottom w:val="none" w:sz="0" w:space="0" w:color="FFFFFF"/>
              <w:right w:val="none" w:sz="0" w:space="0" w:color="FFFFFF"/>
            </w:tcBorders>
            <w:shd w:val="clear" w:color="auto" w:fill="003D5C"/>
            <w:tcMar>
              <w:top w:w="200" w:type="dxa"/>
              <w:left w:w="480" w:type="dxa"/>
              <w:bottom w:w="80" w:type="dxa"/>
              <w:right w:w="480" w:type="dxa"/>
            </w:tcMar>
          </w:tcPr>
          <w:p w14:paraId="2C078190" w14:textId="77777777" w:rsidR="008B0E2C" w:rsidRDefault="00000000">
            <w:pPr>
              <w:spacing w:after="60"/>
            </w:pPr>
            <w:r>
              <w:rPr>
                <w:b/>
                <w:bCs/>
                <w:color w:val="FFFFFF"/>
                <w:spacing w:val="300"/>
                <w:sz w:val="24"/>
                <w:szCs w:val="24"/>
              </w:rPr>
              <w:t>BELAY SOLUTIONS</w:t>
            </w:r>
          </w:p>
          <w:p w14:paraId="3702436F" w14:textId="77777777" w:rsidR="008B0E2C" w:rsidRDefault="00000000">
            <w:r>
              <w:rPr>
                <w:color w:val="E0F4FB"/>
                <w:sz w:val="19"/>
                <w:szCs w:val="19"/>
              </w:rPr>
              <w:t xml:space="preserve">CPG Finance &amp; Tax Strategy </w:t>
            </w:r>
            <w:proofErr w:type="gramStart"/>
            <w:r>
              <w:rPr>
                <w:color w:val="E0F4FB"/>
                <w:sz w:val="19"/>
                <w:szCs w:val="19"/>
              </w:rPr>
              <w:t>Series  •</w:t>
            </w:r>
            <w:proofErr w:type="gramEnd"/>
            <w:r>
              <w:rPr>
                <w:color w:val="E0F4FB"/>
                <w:sz w:val="19"/>
                <w:szCs w:val="19"/>
              </w:rPr>
              <w:t xml:space="preserve">  2026 Edition</w:t>
            </w:r>
          </w:p>
        </w:tc>
      </w:tr>
      <w:tr w:rsidR="008B0E2C" w14:paraId="540940BF"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0077A8"/>
            <w:tcMar>
              <w:top w:w="50" w:type="dxa"/>
              <w:left w:w="0" w:type="dxa"/>
              <w:bottom w:w="50" w:type="dxa"/>
              <w:right w:w="0" w:type="dxa"/>
            </w:tcMar>
          </w:tcPr>
          <w:p w14:paraId="2EE1BEC2" w14:textId="77777777" w:rsidR="008B0E2C" w:rsidRDefault="008B0E2C"/>
        </w:tc>
        <w:tc>
          <w:tcPr>
            <w:tcW w:w="4920" w:type="dxa"/>
            <w:gridSpan w:val="4"/>
            <w:tcBorders>
              <w:top w:val="none" w:sz="0" w:space="0" w:color="FFFFFF"/>
              <w:left w:val="none" w:sz="0" w:space="0" w:color="FFFFFF"/>
              <w:bottom w:val="none" w:sz="0" w:space="0" w:color="FFFFFF"/>
              <w:right w:val="none" w:sz="0" w:space="0" w:color="FFFFFF"/>
            </w:tcBorders>
            <w:shd w:val="clear" w:color="auto" w:fill="00A878"/>
            <w:tcMar>
              <w:top w:w="50" w:type="dxa"/>
              <w:left w:w="0" w:type="dxa"/>
              <w:bottom w:w="50" w:type="dxa"/>
              <w:right w:w="0" w:type="dxa"/>
            </w:tcMar>
          </w:tcPr>
          <w:p w14:paraId="255FE67B" w14:textId="77777777" w:rsidR="008B0E2C" w:rsidRDefault="008B0E2C"/>
        </w:tc>
        <w:tc>
          <w:tcPr>
            <w:tcW w:w="2400" w:type="dxa"/>
            <w:tcBorders>
              <w:top w:val="none" w:sz="0" w:space="0" w:color="FFFFFF"/>
              <w:left w:val="none" w:sz="0" w:space="0" w:color="FFFFFF"/>
              <w:bottom w:val="none" w:sz="0" w:space="0" w:color="FFFFFF"/>
              <w:right w:val="none" w:sz="0" w:space="0" w:color="FFFFFF"/>
            </w:tcBorders>
            <w:shd w:val="clear" w:color="auto" w:fill="0099CC"/>
            <w:tcMar>
              <w:top w:w="50" w:type="dxa"/>
              <w:left w:w="0" w:type="dxa"/>
              <w:bottom w:w="50" w:type="dxa"/>
              <w:right w:w="0" w:type="dxa"/>
            </w:tcMar>
          </w:tcPr>
          <w:p w14:paraId="6B19B387" w14:textId="77777777" w:rsidR="008B0E2C" w:rsidRDefault="008B0E2C"/>
        </w:tc>
      </w:tr>
      <w:tr w:rsidR="008B0E2C" w14:paraId="5E7CA2F0" w14:textId="77777777">
        <w:tblPrEx>
          <w:tblCellMar>
            <w:top w:w="0" w:type="dxa"/>
            <w:bottom w:w="0" w:type="dxa"/>
          </w:tblCellMar>
        </w:tblPrEx>
        <w:tc>
          <w:tcPr>
            <w:tcW w:w="9720" w:type="dxa"/>
            <w:gridSpan w:val="6"/>
            <w:tcBorders>
              <w:top w:val="none" w:sz="0" w:space="0" w:color="FFFFFF"/>
              <w:left w:val="none" w:sz="0" w:space="0" w:color="FFFFFF"/>
              <w:bottom w:val="none" w:sz="0" w:space="0" w:color="FFFFFF"/>
              <w:right w:val="none" w:sz="0" w:space="0" w:color="FFFFFF"/>
            </w:tcBorders>
            <w:shd w:val="clear" w:color="auto" w:fill="003D5C"/>
            <w:tcMar>
              <w:top w:w="80" w:type="dxa"/>
              <w:left w:w="480" w:type="dxa"/>
              <w:bottom w:w="0" w:type="dxa"/>
              <w:right w:w="480" w:type="dxa"/>
            </w:tcMar>
          </w:tcPr>
          <w:p w14:paraId="0205BF39" w14:textId="77777777" w:rsidR="008B0E2C" w:rsidRDefault="00000000">
            <w:pPr>
              <w:spacing w:after="60"/>
            </w:pPr>
            <w:r>
              <w:rPr>
                <w:color w:val="E0F4FB"/>
                <w:sz w:val="28"/>
                <w:szCs w:val="28"/>
              </w:rPr>
              <w:t>The CPG Leader’s Complete Guide to</w:t>
            </w:r>
          </w:p>
          <w:p w14:paraId="3185AD66" w14:textId="77777777" w:rsidR="008B0E2C" w:rsidRDefault="00000000">
            <w:r>
              <w:rPr>
                <w:b/>
                <w:bCs/>
                <w:color w:val="FFFFFF"/>
                <w:sz w:val="80"/>
                <w:szCs w:val="80"/>
              </w:rPr>
              <w:t>Tariff Refund</w:t>
            </w:r>
          </w:p>
          <w:p w14:paraId="7059E4AA" w14:textId="77777777" w:rsidR="008B0E2C" w:rsidRDefault="00000000">
            <w:pPr>
              <w:spacing w:after="160"/>
            </w:pPr>
            <w:r>
              <w:rPr>
                <w:b/>
                <w:bCs/>
                <w:color w:val="00A878"/>
                <w:sz w:val="80"/>
                <w:szCs w:val="80"/>
              </w:rPr>
              <w:t>Recovery</w:t>
            </w:r>
          </w:p>
          <w:p w14:paraId="43A650F5" w14:textId="77777777" w:rsidR="008B0E2C" w:rsidRDefault="00000000">
            <w:pPr>
              <w:spacing w:after="280"/>
            </w:pPr>
            <w:r>
              <w:rPr>
                <w:i/>
                <w:iCs/>
                <w:color w:val="E0F4FB"/>
                <w:sz w:val="24"/>
                <w:szCs w:val="24"/>
              </w:rPr>
              <w:t>How CFOs and Tax Strategists Can Reclaim Millions in Overpaid Duties — Before the Window Closes</w:t>
            </w:r>
          </w:p>
        </w:tc>
      </w:tr>
      <w:tr w:rsidR="008B0E2C" w14:paraId="5AE03B9C" w14:textId="77777777">
        <w:tblPrEx>
          <w:tblCellMar>
            <w:top w:w="0" w:type="dxa"/>
            <w:bottom w:w="0" w:type="dxa"/>
          </w:tblCellMar>
        </w:tblPrEx>
        <w:tc>
          <w:tcPr>
            <w:tcW w:w="2430" w:type="dxa"/>
            <w:gridSpan w:val="2"/>
            <w:tcBorders>
              <w:top w:val="none" w:sz="0" w:space="0" w:color="FFFFFF"/>
              <w:left w:val="none" w:sz="0" w:space="0" w:color="FFFFFF"/>
              <w:bottom w:val="none" w:sz="0" w:space="0" w:color="FFFFFF"/>
              <w:right w:val="none" w:sz="0" w:space="0" w:color="FFFFFF"/>
            </w:tcBorders>
            <w:shd w:val="clear" w:color="auto" w:fill="003D5C"/>
            <w:tcMar>
              <w:top w:w="220" w:type="dxa"/>
              <w:left w:w="240" w:type="dxa"/>
              <w:bottom w:w="220" w:type="dxa"/>
              <w:right w:w="240" w:type="dxa"/>
            </w:tcMar>
          </w:tcPr>
          <w:p w14:paraId="6E83CC84" w14:textId="77777777" w:rsidR="008B0E2C" w:rsidRDefault="00000000">
            <w:pPr>
              <w:spacing w:after="40"/>
              <w:jc w:val="center"/>
            </w:pPr>
            <w:r>
              <w:rPr>
                <w:b/>
                <w:bCs/>
                <w:color w:val="00A878"/>
                <w:sz w:val="56"/>
                <w:szCs w:val="56"/>
              </w:rPr>
              <w:t>$180B+</w:t>
            </w:r>
          </w:p>
          <w:p w14:paraId="5149E368" w14:textId="77777777" w:rsidR="008B0E2C" w:rsidRDefault="00000000">
            <w:pPr>
              <w:jc w:val="center"/>
            </w:pPr>
            <w:r>
              <w:rPr>
                <w:color w:val="E0F4FB"/>
                <w:sz w:val="19"/>
                <w:szCs w:val="19"/>
              </w:rPr>
              <w:t>Section 301 duties collected since 2018</w:t>
            </w:r>
          </w:p>
        </w:tc>
        <w:tc>
          <w:tcPr>
            <w:tcW w:w="2430" w:type="dxa"/>
            <w:tcBorders>
              <w:top w:val="none" w:sz="0" w:space="0" w:color="FFFFFF"/>
              <w:left w:val="single" w:sz="6" w:space="0" w:color="0099CC"/>
              <w:bottom w:val="none" w:sz="0" w:space="0" w:color="FFFFFF"/>
              <w:right w:val="none" w:sz="0" w:space="0" w:color="FFFFFF"/>
            </w:tcBorders>
            <w:shd w:val="clear" w:color="auto" w:fill="003D5C"/>
            <w:tcMar>
              <w:top w:w="220" w:type="dxa"/>
              <w:left w:w="240" w:type="dxa"/>
              <w:bottom w:w="220" w:type="dxa"/>
              <w:right w:w="240" w:type="dxa"/>
            </w:tcMar>
          </w:tcPr>
          <w:p w14:paraId="1AA5E593" w14:textId="77777777" w:rsidR="008B0E2C" w:rsidRDefault="00000000">
            <w:pPr>
              <w:spacing w:after="40"/>
              <w:jc w:val="center"/>
            </w:pPr>
            <w:r>
              <w:rPr>
                <w:b/>
                <w:bCs/>
                <w:color w:val="00A878"/>
                <w:sz w:val="56"/>
                <w:szCs w:val="56"/>
              </w:rPr>
              <w:t>99%</w:t>
            </w:r>
          </w:p>
          <w:p w14:paraId="6964F53E" w14:textId="77777777" w:rsidR="008B0E2C" w:rsidRDefault="00000000">
            <w:pPr>
              <w:jc w:val="center"/>
            </w:pPr>
            <w:r>
              <w:rPr>
                <w:color w:val="E0F4FB"/>
                <w:sz w:val="19"/>
                <w:szCs w:val="19"/>
              </w:rPr>
              <w:t>of duties recoverable via drawback</w:t>
            </w:r>
          </w:p>
        </w:tc>
        <w:tc>
          <w:tcPr>
            <w:tcW w:w="2430" w:type="dxa"/>
            <w:tcBorders>
              <w:top w:val="none" w:sz="0" w:space="0" w:color="FFFFFF"/>
              <w:left w:val="single" w:sz="6" w:space="0" w:color="0099CC"/>
              <w:bottom w:val="none" w:sz="0" w:space="0" w:color="FFFFFF"/>
              <w:right w:val="none" w:sz="0" w:space="0" w:color="FFFFFF"/>
            </w:tcBorders>
            <w:shd w:val="clear" w:color="auto" w:fill="003D5C"/>
            <w:tcMar>
              <w:top w:w="220" w:type="dxa"/>
              <w:left w:w="240" w:type="dxa"/>
              <w:bottom w:w="220" w:type="dxa"/>
              <w:right w:w="240" w:type="dxa"/>
            </w:tcMar>
          </w:tcPr>
          <w:p w14:paraId="6121383E" w14:textId="77777777" w:rsidR="008B0E2C" w:rsidRDefault="00000000">
            <w:pPr>
              <w:spacing w:after="40"/>
              <w:jc w:val="center"/>
            </w:pPr>
            <w:r>
              <w:rPr>
                <w:b/>
                <w:bCs/>
                <w:color w:val="00A878"/>
                <w:sz w:val="56"/>
                <w:szCs w:val="56"/>
              </w:rPr>
              <w:t>5 Yrs</w:t>
            </w:r>
          </w:p>
          <w:p w14:paraId="527791DE" w14:textId="77777777" w:rsidR="008B0E2C" w:rsidRDefault="00000000">
            <w:pPr>
              <w:jc w:val="center"/>
            </w:pPr>
            <w:r>
              <w:rPr>
                <w:color w:val="E0F4FB"/>
                <w:sz w:val="19"/>
                <w:szCs w:val="19"/>
              </w:rPr>
              <w:t>maximum lookback window for claims</w:t>
            </w:r>
          </w:p>
        </w:tc>
        <w:tc>
          <w:tcPr>
            <w:tcW w:w="2430" w:type="dxa"/>
            <w:gridSpan w:val="2"/>
            <w:tcBorders>
              <w:top w:val="none" w:sz="0" w:space="0" w:color="FFFFFF"/>
              <w:left w:val="single" w:sz="6" w:space="0" w:color="0099CC"/>
              <w:bottom w:val="none" w:sz="0" w:space="0" w:color="FFFFFF"/>
              <w:right w:val="none" w:sz="0" w:space="0" w:color="FFFFFF"/>
            </w:tcBorders>
            <w:shd w:val="clear" w:color="auto" w:fill="003D5C"/>
            <w:tcMar>
              <w:top w:w="220" w:type="dxa"/>
              <w:left w:w="240" w:type="dxa"/>
              <w:bottom w:w="220" w:type="dxa"/>
              <w:right w:w="240" w:type="dxa"/>
            </w:tcMar>
          </w:tcPr>
          <w:p w14:paraId="5023C857" w14:textId="77777777" w:rsidR="008B0E2C" w:rsidRDefault="00000000">
            <w:pPr>
              <w:spacing w:after="40"/>
              <w:jc w:val="center"/>
            </w:pPr>
            <w:r>
              <w:rPr>
                <w:b/>
                <w:bCs/>
                <w:color w:val="00A878"/>
                <w:sz w:val="56"/>
                <w:szCs w:val="56"/>
              </w:rPr>
              <w:t>180 Days</w:t>
            </w:r>
          </w:p>
          <w:p w14:paraId="07C99184" w14:textId="77777777" w:rsidR="008B0E2C" w:rsidRDefault="00000000">
            <w:pPr>
              <w:jc w:val="center"/>
            </w:pPr>
            <w:r>
              <w:rPr>
                <w:color w:val="E0F4FB"/>
                <w:sz w:val="19"/>
                <w:szCs w:val="19"/>
              </w:rPr>
              <w:t>protest window from liquidation</w:t>
            </w:r>
          </w:p>
        </w:tc>
      </w:tr>
    </w:tbl>
    <w:p w14:paraId="675BB486"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031E29A9"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44296540" w14:textId="77777777" w:rsidR="008B0E2C" w:rsidRDefault="00000000">
            <w:r>
              <w:rPr>
                <w:b/>
                <w:bCs/>
                <w:color w:val="00A878"/>
                <w:spacing w:val="300"/>
                <w:sz w:val="18"/>
                <w:szCs w:val="18"/>
              </w:rPr>
              <w:t>INTRODUCTION</w:t>
            </w:r>
            <w:r>
              <w:rPr>
                <w:color w:val="0099CC"/>
                <w:sz w:val="28"/>
                <w:szCs w:val="28"/>
              </w:rPr>
              <w:t xml:space="preserve">   —   </w:t>
            </w:r>
            <w:r>
              <w:rPr>
                <w:b/>
                <w:bCs/>
                <w:color w:val="FFFFFF"/>
                <w:sz w:val="40"/>
                <w:szCs w:val="40"/>
              </w:rPr>
              <w:t>Executive Summary</w:t>
            </w:r>
          </w:p>
        </w:tc>
      </w:tr>
      <w:tr w:rsidR="008B0E2C" w14:paraId="6B9912E4"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3730F0F7" w14:textId="77777777" w:rsidR="008B0E2C" w:rsidRDefault="00000000">
            <w:r>
              <w:rPr>
                <w:i/>
                <w:iCs/>
                <w:color w:val="E0F4FB"/>
              </w:rPr>
              <w:t>What every CPG finance leader needs to know right now</w:t>
            </w:r>
          </w:p>
        </w:tc>
      </w:tr>
    </w:tbl>
    <w:p w14:paraId="6A769988" w14:textId="77777777" w:rsidR="008B0E2C" w:rsidRDefault="008B0E2C">
      <w:pPr>
        <w:spacing w:after="80"/>
      </w:pPr>
    </w:p>
    <w:p w14:paraId="62ECD50A" w14:textId="77777777" w:rsidR="008B0E2C" w:rsidRDefault="00000000">
      <w:pPr>
        <w:spacing w:before="80" w:after="120" w:line="290" w:lineRule="auto"/>
      </w:pPr>
      <w:r>
        <w:rPr>
          <w:i/>
          <w:iCs/>
          <w:color w:val="1A4A6B"/>
          <w:sz w:val="24"/>
          <w:szCs w:val="24"/>
        </w:rPr>
        <w:t xml:space="preserve">The tariff landscape for </w:t>
      </w:r>
      <w:proofErr w:type="gramStart"/>
      <w:r>
        <w:rPr>
          <w:i/>
          <w:iCs/>
          <w:color w:val="1A4A6B"/>
          <w:sz w:val="24"/>
          <w:szCs w:val="24"/>
        </w:rPr>
        <w:t>Consumer Packaged</w:t>
      </w:r>
      <w:proofErr w:type="gramEnd"/>
      <w:r>
        <w:rPr>
          <w:i/>
          <w:iCs/>
          <w:color w:val="1A4A6B"/>
          <w:sz w:val="24"/>
          <w:szCs w:val="24"/>
        </w:rPr>
        <w:t xml:space="preserve"> Goods companies has never been more volatile — or more consequential.</w:t>
      </w:r>
    </w:p>
    <w:p w14:paraId="32B5CA48" w14:textId="77777777" w:rsidR="008B0E2C" w:rsidRDefault="00000000">
      <w:pPr>
        <w:spacing w:before="60" w:after="110" w:line="284" w:lineRule="auto"/>
      </w:pPr>
      <w:r>
        <w:t>The 2018–2019 Section 301 tariffs on Chinese imports, combined with recent escalations, exclusion reversals, and a new wave of reciprocal tariff actions in 2025, have resulted in tens of billions of dollars in duties paid by U.S. importers — many of which may be fully or partially refundable. For CPG brands importing raw materials, packaging, ingredients, or finished goods, the opportunity is significant. Yet most finance teams are either unaware of the refund mechanisms available or lack the bandwidth to pursue them systematically.</w:t>
      </w:r>
    </w:p>
    <w:p w14:paraId="031E0A58"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320"/>
      </w:tblGrid>
      <w:tr w:rsidR="008B0E2C" w14:paraId="6B841094"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0077A8"/>
            <w:tcMar>
              <w:top w:w="0" w:type="dxa"/>
              <w:left w:w="0" w:type="dxa"/>
              <w:bottom w:w="0" w:type="dxa"/>
              <w:right w:w="0" w:type="dxa"/>
            </w:tcMar>
          </w:tcPr>
          <w:p w14:paraId="327F91CF" w14:textId="77777777" w:rsidR="008B0E2C" w:rsidRDefault="00000000">
            <w:pPr>
              <w:spacing w:before="160"/>
              <w:jc w:val="center"/>
            </w:pPr>
            <w:r>
              <w:rPr>
                <w:color w:val="FFFFFF"/>
                <w:sz w:val="28"/>
                <w:szCs w:val="28"/>
              </w:rPr>
              <w:t>🎯</w:t>
            </w:r>
          </w:p>
        </w:tc>
        <w:tc>
          <w:tcPr>
            <w:tcW w:w="9320" w:type="dxa"/>
            <w:tcBorders>
              <w:top w:val="none" w:sz="0" w:space="0" w:color="FFFFFF"/>
              <w:left w:val="none" w:sz="0" w:space="0" w:color="FFFFFF"/>
              <w:bottom w:val="none" w:sz="0" w:space="0" w:color="FFFFFF"/>
              <w:right w:val="none" w:sz="0" w:space="0" w:color="FFFFFF"/>
            </w:tcBorders>
            <w:shd w:val="clear" w:color="auto" w:fill="E0F4FB"/>
            <w:tcMar>
              <w:top w:w="160" w:type="dxa"/>
              <w:left w:w="260" w:type="dxa"/>
              <w:bottom w:w="160" w:type="dxa"/>
              <w:right w:w="220" w:type="dxa"/>
            </w:tcMar>
          </w:tcPr>
          <w:p w14:paraId="630982BF" w14:textId="77777777" w:rsidR="008B0E2C" w:rsidRDefault="00000000">
            <w:pPr>
              <w:spacing w:after="60"/>
            </w:pPr>
            <w:r>
              <w:rPr>
                <w:b/>
                <w:bCs/>
                <w:color w:val="005580"/>
              </w:rPr>
              <w:t>The Bottom Line for CPG CFOs</w:t>
            </w:r>
          </w:p>
          <w:p w14:paraId="7EE9D457" w14:textId="77777777" w:rsidR="008B0E2C" w:rsidRDefault="00000000">
            <w:pPr>
              <w:spacing w:line="270" w:lineRule="auto"/>
            </w:pPr>
            <w:r>
              <w:rPr>
                <w:sz w:val="21"/>
                <w:szCs w:val="21"/>
              </w:rPr>
              <w:t>U.S. Customs and Border Protection (CBP) and the U.S. Trade Representative (USTR) have open exclusion and drawback processes that allow qualifying importers to recover duties paid on certain goods. Depending on your import profile, eligible companies may recoup hundreds of thousands — or millions — of dollars. The process is complex, time-sensitive, and documentation-intensive. This guide is your complete roadmap.</w:t>
            </w:r>
          </w:p>
        </w:tc>
      </w:tr>
    </w:tbl>
    <w:p w14:paraId="447CEB16" w14:textId="77777777" w:rsidR="008B0E2C" w:rsidRDefault="008B0E2C">
      <w:pPr>
        <w:spacing w:after="80"/>
      </w:pPr>
    </w:p>
    <w:p w14:paraId="0753856F" w14:textId="77777777" w:rsidR="008B0E2C" w:rsidRDefault="00000000">
      <w:pPr>
        <w:spacing w:before="60" w:after="110" w:line="284" w:lineRule="auto"/>
      </w:pPr>
      <w:r>
        <w:t>BELAY Solutions helps CPG finance leaders build the back-office infrastructure to pursue these refunds with confidence. Whether you need a fractional CFO to lead the strategy or expert financial support to manage documentation, BELAY’s virtual professionals are built for exactly this kind of high-stakes financial work.</w:t>
      </w:r>
    </w:p>
    <w:p w14:paraId="2A32B005" w14:textId="77777777" w:rsidR="008B0E2C" w:rsidRDefault="008B0E2C">
      <w:pPr>
        <w:spacing w:after="160"/>
      </w:pPr>
    </w:p>
    <w:p w14:paraId="7597683C"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681C2E8B"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4C86BD62" w14:textId="77777777" w:rsidR="008B0E2C" w:rsidRDefault="00000000">
            <w:r>
              <w:rPr>
                <w:b/>
                <w:bCs/>
                <w:color w:val="00A878"/>
                <w:spacing w:val="300"/>
                <w:sz w:val="18"/>
                <w:szCs w:val="18"/>
              </w:rPr>
              <w:t>SECTION 1</w:t>
            </w:r>
            <w:r>
              <w:rPr>
                <w:color w:val="0099CC"/>
                <w:sz w:val="28"/>
                <w:szCs w:val="28"/>
              </w:rPr>
              <w:t xml:space="preserve">   —   </w:t>
            </w:r>
            <w:r>
              <w:rPr>
                <w:b/>
                <w:bCs/>
                <w:color w:val="FFFFFF"/>
                <w:sz w:val="40"/>
                <w:szCs w:val="40"/>
              </w:rPr>
              <w:t>Understanding the Tariff Refund Landscape</w:t>
            </w:r>
          </w:p>
        </w:tc>
      </w:tr>
      <w:tr w:rsidR="008B0E2C" w14:paraId="56371248"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1C327173" w14:textId="77777777" w:rsidR="008B0E2C" w:rsidRDefault="00000000">
            <w:r>
              <w:rPr>
                <w:i/>
                <w:iCs/>
                <w:color w:val="E0F4FB"/>
              </w:rPr>
              <w:t>The four pathways CPG companies must know</w:t>
            </w:r>
          </w:p>
        </w:tc>
      </w:tr>
    </w:tbl>
    <w:p w14:paraId="19C53544"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398A0C7C"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3D9934C4" w14:textId="77777777" w:rsidR="008B0E2C" w:rsidRDefault="00000000">
            <w:r>
              <w:rPr>
                <w:b/>
                <w:bCs/>
                <w:color w:val="005580"/>
                <w:sz w:val="30"/>
                <w:szCs w:val="30"/>
              </w:rPr>
              <w:t>What Are Tariff Refunds and Why Do They Exist?</w:t>
            </w:r>
          </w:p>
        </w:tc>
      </w:tr>
    </w:tbl>
    <w:p w14:paraId="000DBD41" w14:textId="77777777" w:rsidR="008B0E2C" w:rsidRDefault="008B0E2C">
      <w:pPr>
        <w:spacing w:after="40"/>
      </w:pPr>
    </w:p>
    <w:p w14:paraId="2A220FAD" w14:textId="77777777" w:rsidR="008B0E2C" w:rsidRDefault="00000000">
      <w:pPr>
        <w:spacing w:before="60" w:after="110" w:line="284" w:lineRule="auto"/>
      </w:pPr>
      <w:r>
        <w:t>Tariff refunds are mechanisms through which the U.S. government returns import duties previously collected from importers. They are not loopholes — they are legally established pathways created by Congress and administered by CBP and the USTR. The four primary mechanisms relevant to CPG companies are:</w:t>
      </w:r>
    </w:p>
    <w:p w14:paraId="77C02800" w14:textId="77777777" w:rsidR="008B0E2C" w:rsidRDefault="008B0E2C">
      <w:pPr>
        <w:spacing w:after="80"/>
      </w:pPr>
    </w:p>
    <w:tbl>
      <w:tblPr>
        <w:tblW w:w="972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0"/>
        <w:gridCol w:w="440"/>
        <w:gridCol w:w="4640"/>
      </w:tblGrid>
      <w:tr w:rsidR="008B0E2C" w14:paraId="467A2DF4"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21CB92C5" w14:textId="77777777" w:rsidR="008B0E2C" w:rsidRDefault="00000000">
            <w:pPr>
              <w:spacing w:after="80"/>
            </w:pPr>
            <w:proofErr w:type="gramStart"/>
            <w:r>
              <w:rPr>
                <w:color w:val="0077A8"/>
                <w:sz w:val="26"/>
                <w:szCs w:val="26"/>
              </w:rPr>
              <w:t xml:space="preserve">▶  </w:t>
            </w:r>
            <w:r>
              <w:rPr>
                <w:b/>
                <w:bCs/>
                <w:color w:val="005580"/>
              </w:rPr>
              <w:t>Section</w:t>
            </w:r>
            <w:proofErr w:type="gramEnd"/>
            <w:r>
              <w:rPr>
                <w:b/>
                <w:bCs/>
                <w:color w:val="005580"/>
              </w:rPr>
              <w:t xml:space="preserve"> 301 Exclusions</w:t>
            </w:r>
          </w:p>
          <w:p w14:paraId="19CA5255" w14:textId="77777777" w:rsidR="008B0E2C" w:rsidRDefault="00000000">
            <w:pPr>
              <w:spacing w:line="268" w:lineRule="auto"/>
            </w:pPr>
            <w:r>
              <w:rPr>
                <w:sz w:val="20"/>
                <w:szCs w:val="20"/>
              </w:rPr>
              <w:t>USTR grants temporary or permanent exclusions from tariffs for specific HTS codes. Importers who paid duties on excluded goods during covered periods are eligible for retroactive refunds.</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1C5344A"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0573B136" w14:textId="77777777" w:rsidR="008B0E2C" w:rsidRDefault="00000000">
            <w:pPr>
              <w:spacing w:after="80"/>
            </w:pPr>
            <w:proofErr w:type="gramStart"/>
            <w:r>
              <w:rPr>
                <w:color w:val="00A878"/>
                <w:sz w:val="26"/>
                <w:szCs w:val="26"/>
              </w:rPr>
              <w:t xml:space="preserve">▶  </w:t>
            </w:r>
            <w:r>
              <w:rPr>
                <w:b/>
                <w:bCs/>
                <w:color w:val="007A58"/>
              </w:rPr>
              <w:t>Duty</w:t>
            </w:r>
            <w:proofErr w:type="gramEnd"/>
            <w:r>
              <w:rPr>
                <w:b/>
                <w:bCs/>
                <w:color w:val="007A58"/>
              </w:rPr>
              <w:t xml:space="preserve"> Drawback — 19 U.S.C. § 1313</w:t>
            </w:r>
          </w:p>
          <w:p w14:paraId="42620C2F" w14:textId="77777777" w:rsidR="008B0E2C" w:rsidRDefault="00000000">
            <w:pPr>
              <w:spacing w:line="268" w:lineRule="auto"/>
            </w:pPr>
            <w:r>
              <w:rPr>
                <w:sz w:val="20"/>
                <w:szCs w:val="20"/>
              </w:rPr>
              <w:t>If you imported goods and subsequently exported finished products containing those inputs, you may recover up to 99% of duties paid through the drawback program.</w:t>
            </w:r>
          </w:p>
        </w:tc>
      </w:tr>
      <w:tr w:rsidR="008B0E2C" w14:paraId="6BD8AFAB" w14:textId="77777777">
        <w:tblPrEx>
          <w:tblCellMar>
            <w:top w:w="0" w:type="dxa"/>
            <w:bottom w:w="0" w:type="dxa"/>
          </w:tblCellMar>
        </w:tblPrEx>
        <w:tc>
          <w:tcPr>
            <w:tcW w:w="9720" w:type="dxa"/>
            <w:gridSpan w:val="3"/>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841B564" w14:textId="77777777" w:rsidR="008B0E2C" w:rsidRDefault="008B0E2C"/>
        </w:tc>
      </w:tr>
      <w:tr w:rsidR="008B0E2C" w14:paraId="3D925586"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72D81400" w14:textId="77777777" w:rsidR="008B0E2C" w:rsidRDefault="00000000">
            <w:pPr>
              <w:spacing w:after="80"/>
            </w:pPr>
            <w:proofErr w:type="gramStart"/>
            <w:r>
              <w:rPr>
                <w:color w:val="0077A8"/>
                <w:sz w:val="26"/>
                <w:szCs w:val="26"/>
              </w:rPr>
              <w:t xml:space="preserve">▶  </w:t>
            </w:r>
            <w:r>
              <w:rPr>
                <w:b/>
                <w:bCs/>
                <w:color w:val="005580"/>
              </w:rPr>
              <w:t>First</w:t>
            </w:r>
            <w:proofErr w:type="gramEnd"/>
            <w:r>
              <w:rPr>
                <w:b/>
                <w:bCs/>
                <w:color w:val="005580"/>
              </w:rPr>
              <w:t xml:space="preserve"> Sale Valuation</w:t>
            </w:r>
          </w:p>
          <w:p w14:paraId="66843EF5" w14:textId="77777777" w:rsidR="008B0E2C" w:rsidRDefault="00000000">
            <w:pPr>
              <w:spacing w:line="268" w:lineRule="auto"/>
            </w:pPr>
            <w:r>
              <w:rPr>
                <w:sz w:val="20"/>
                <w:szCs w:val="20"/>
              </w:rPr>
              <w:t>U.S. Customs allows importers to declare the manufacturer price rather than the middleman price as the dutiable value, reducing the duty basis — sometimes retroactively.</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A7019B0"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3996693A" w14:textId="77777777" w:rsidR="008B0E2C" w:rsidRDefault="00000000">
            <w:pPr>
              <w:spacing w:after="80"/>
            </w:pPr>
            <w:proofErr w:type="gramStart"/>
            <w:r>
              <w:rPr>
                <w:color w:val="00A878"/>
                <w:sz w:val="26"/>
                <w:szCs w:val="26"/>
              </w:rPr>
              <w:t xml:space="preserve">▶  </w:t>
            </w:r>
            <w:r>
              <w:rPr>
                <w:b/>
                <w:bCs/>
                <w:color w:val="007A58"/>
              </w:rPr>
              <w:t>Tariff</w:t>
            </w:r>
            <w:proofErr w:type="gramEnd"/>
            <w:r>
              <w:rPr>
                <w:b/>
                <w:bCs/>
                <w:color w:val="007A58"/>
              </w:rPr>
              <w:t xml:space="preserve"> Engineering</w:t>
            </w:r>
          </w:p>
          <w:p w14:paraId="5A4FAC50" w14:textId="77777777" w:rsidR="008B0E2C" w:rsidRDefault="00000000">
            <w:pPr>
              <w:spacing w:line="268" w:lineRule="auto"/>
            </w:pPr>
            <w:r>
              <w:rPr>
                <w:sz w:val="20"/>
                <w:szCs w:val="20"/>
              </w:rPr>
              <w:t>Legally modifying how a product is classified or assembled to qualify under a lower-duty HTS code — a proactive strategy with retroactive refund potential in some cases.</w:t>
            </w:r>
          </w:p>
        </w:tc>
      </w:tr>
    </w:tbl>
    <w:p w14:paraId="31E7D511" w14:textId="77777777" w:rsidR="008B0E2C" w:rsidRDefault="008B0E2C">
      <w:pPr>
        <w:spacing w:after="1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76A14935"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25E5A96C" w14:textId="77777777" w:rsidR="008B0E2C" w:rsidRDefault="00000000">
            <w:r>
              <w:rPr>
                <w:b/>
                <w:bCs/>
                <w:color w:val="005580"/>
                <w:sz w:val="30"/>
                <w:szCs w:val="30"/>
              </w:rPr>
              <w:t>The 2025 Tariff Environment: Why This Moment Matters</w:t>
            </w:r>
          </w:p>
        </w:tc>
      </w:tr>
    </w:tbl>
    <w:p w14:paraId="24826034" w14:textId="77777777" w:rsidR="008B0E2C" w:rsidRDefault="008B0E2C">
      <w:pPr>
        <w:spacing w:after="40"/>
      </w:pPr>
    </w:p>
    <w:p w14:paraId="38B17E96" w14:textId="77777777" w:rsidR="008B0E2C" w:rsidRDefault="00000000">
      <w:pPr>
        <w:spacing w:before="60" w:after="110" w:line="284" w:lineRule="auto"/>
      </w:pPr>
      <w:r>
        <w:t>In 2025, the tariff environment underwent a dramatic reset. A new wave of executive actions expanded Section 301 tariffs, introduced reciprocal tariff frameworks against dozens of countries, and simultaneously created a new exclusion review cycle. For CPG companies, this creates a dual opportunity:</w:t>
      </w:r>
    </w:p>
    <w:p w14:paraId="0C521637" w14:textId="77777777" w:rsidR="008B0E2C" w:rsidRDefault="008B0E2C">
      <w:pPr>
        <w:spacing w:after="80"/>
      </w:pPr>
    </w:p>
    <w:p w14:paraId="442AE7AA" w14:textId="77777777" w:rsidR="008B0E2C" w:rsidRDefault="00000000">
      <w:pPr>
        <w:pStyle w:val="ListParagraph"/>
        <w:numPr>
          <w:ilvl w:val="0"/>
          <w:numId w:val="2"/>
        </w:numPr>
        <w:spacing w:before="60" w:after="60" w:line="272" w:lineRule="auto"/>
      </w:pPr>
      <w:r>
        <w:rPr>
          <w:sz w:val="21"/>
          <w:szCs w:val="21"/>
        </w:rPr>
        <w:t>Retroactive refunds on duties already paid during 2018–2024 exclusion windows</w:t>
      </w:r>
    </w:p>
    <w:p w14:paraId="3D063AA0" w14:textId="77777777" w:rsidR="008B0E2C" w:rsidRDefault="00000000">
      <w:pPr>
        <w:pStyle w:val="ListParagraph"/>
        <w:numPr>
          <w:ilvl w:val="0"/>
          <w:numId w:val="2"/>
        </w:numPr>
        <w:spacing w:before="60" w:after="60" w:line="272" w:lineRule="auto"/>
      </w:pPr>
      <w:r>
        <w:rPr>
          <w:sz w:val="21"/>
          <w:szCs w:val="21"/>
        </w:rPr>
        <w:t>Proactive exclusion filings to reduce or eliminate tariffs on future imports</w:t>
      </w:r>
    </w:p>
    <w:p w14:paraId="3303EC1C" w14:textId="77777777" w:rsidR="008B0E2C" w:rsidRDefault="00000000">
      <w:pPr>
        <w:pStyle w:val="ListParagraph"/>
        <w:numPr>
          <w:ilvl w:val="0"/>
          <w:numId w:val="2"/>
        </w:numPr>
        <w:spacing w:before="60" w:after="60" w:line="272" w:lineRule="auto"/>
      </w:pPr>
      <w:r>
        <w:rPr>
          <w:sz w:val="21"/>
          <w:szCs w:val="21"/>
        </w:rPr>
        <w:t>Duty drawback claims on exported goods going back up to five years</w:t>
      </w:r>
    </w:p>
    <w:p w14:paraId="3885BBCC" w14:textId="77777777" w:rsidR="008B0E2C" w:rsidRDefault="00000000">
      <w:pPr>
        <w:pStyle w:val="ListParagraph"/>
        <w:numPr>
          <w:ilvl w:val="0"/>
          <w:numId w:val="2"/>
        </w:numPr>
        <w:spacing w:before="60" w:after="60" w:line="272" w:lineRule="auto"/>
      </w:pPr>
      <w:r>
        <w:rPr>
          <w:sz w:val="21"/>
          <w:szCs w:val="21"/>
        </w:rPr>
        <w:t>HTS reclassification reviews to identify prior overpayments</w:t>
      </w:r>
    </w:p>
    <w:p w14:paraId="7D8261D7"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320"/>
      </w:tblGrid>
      <w:tr w:rsidR="008B0E2C" w14:paraId="0C05BA09"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FF6B6B"/>
            <w:tcMar>
              <w:top w:w="0" w:type="dxa"/>
              <w:left w:w="0" w:type="dxa"/>
              <w:bottom w:w="0" w:type="dxa"/>
              <w:right w:w="0" w:type="dxa"/>
            </w:tcMar>
          </w:tcPr>
          <w:p w14:paraId="0DF0620E" w14:textId="77777777" w:rsidR="008B0E2C" w:rsidRDefault="00000000">
            <w:pPr>
              <w:spacing w:before="160"/>
              <w:jc w:val="center"/>
            </w:pPr>
            <w:r>
              <w:rPr>
                <w:color w:val="FFFFFF"/>
                <w:sz w:val="28"/>
                <w:szCs w:val="28"/>
              </w:rPr>
              <w:t>⚠</w:t>
            </w:r>
          </w:p>
        </w:tc>
        <w:tc>
          <w:tcPr>
            <w:tcW w:w="9320" w:type="dxa"/>
            <w:tcBorders>
              <w:top w:val="none" w:sz="0" w:space="0" w:color="FFFFFF"/>
              <w:left w:val="none" w:sz="0" w:space="0" w:color="FFFFFF"/>
              <w:bottom w:val="none" w:sz="0" w:space="0" w:color="FFFFFF"/>
              <w:right w:val="none" w:sz="0" w:space="0" w:color="FFFFFF"/>
            </w:tcBorders>
            <w:shd w:val="clear" w:color="auto" w:fill="FFF0F0"/>
            <w:tcMar>
              <w:top w:w="160" w:type="dxa"/>
              <w:left w:w="260" w:type="dxa"/>
              <w:bottom w:w="160" w:type="dxa"/>
              <w:right w:w="220" w:type="dxa"/>
            </w:tcMar>
          </w:tcPr>
          <w:p w14:paraId="59EE6A9B" w14:textId="77777777" w:rsidR="008B0E2C" w:rsidRDefault="00000000">
            <w:pPr>
              <w:spacing w:after="60"/>
            </w:pPr>
            <w:r>
              <w:rPr>
                <w:b/>
                <w:bCs/>
                <w:color w:val="FF6B6B"/>
              </w:rPr>
              <w:t>Critical Deadline Alert</w:t>
            </w:r>
          </w:p>
          <w:p w14:paraId="2A7CAD01" w14:textId="77777777" w:rsidR="008B0E2C" w:rsidRDefault="00000000">
            <w:pPr>
              <w:spacing w:line="270" w:lineRule="auto"/>
            </w:pPr>
            <w:r>
              <w:rPr>
                <w:sz w:val="21"/>
                <w:szCs w:val="21"/>
              </w:rPr>
              <w:t>Duty drawback claims must typically be filed within five years of the date of importation. Section 301 exclusion refunds are tied to specific exclusion windows. If you have not begun a review of your import history, you are already narrowing your opportunity window. Every month of inaction is money permanently off the table.</w:t>
            </w:r>
          </w:p>
        </w:tc>
      </w:tr>
    </w:tbl>
    <w:p w14:paraId="52BEA75C" w14:textId="77777777" w:rsidR="008B0E2C" w:rsidRDefault="008B0E2C">
      <w:pPr>
        <w:spacing w:after="160"/>
      </w:pPr>
    </w:p>
    <w:p w14:paraId="7727682F"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26A094A7"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3DD4C544" w14:textId="77777777" w:rsidR="008B0E2C" w:rsidRDefault="00000000">
            <w:r>
              <w:rPr>
                <w:b/>
                <w:bCs/>
                <w:color w:val="00A878"/>
                <w:spacing w:val="300"/>
                <w:sz w:val="18"/>
                <w:szCs w:val="18"/>
              </w:rPr>
              <w:t>SECTION 2</w:t>
            </w:r>
            <w:r>
              <w:rPr>
                <w:color w:val="0099CC"/>
                <w:sz w:val="28"/>
                <w:szCs w:val="28"/>
              </w:rPr>
              <w:t xml:space="preserve">   —   </w:t>
            </w:r>
            <w:r>
              <w:rPr>
                <w:b/>
                <w:bCs/>
                <w:color w:val="FFFFFF"/>
                <w:sz w:val="40"/>
                <w:szCs w:val="40"/>
              </w:rPr>
              <w:t>Does Your CPG Company Qualify?</w:t>
            </w:r>
          </w:p>
        </w:tc>
      </w:tr>
      <w:tr w:rsidR="008B0E2C" w14:paraId="5F2B3E11"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79738110" w14:textId="77777777" w:rsidR="008B0E2C" w:rsidRDefault="00000000">
            <w:r>
              <w:rPr>
                <w:i/>
                <w:iCs/>
                <w:color w:val="E0F4FB"/>
              </w:rPr>
              <w:t>A practical framework for self-assessment</w:t>
            </w:r>
          </w:p>
        </w:tc>
      </w:tr>
    </w:tbl>
    <w:p w14:paraId="18F90ABD"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7F46672F"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251DB21A" w14:textId="77777777" w:rsidR="008B0E2C" w:rsidRDefault="00000000">
            <w:r>
              <w:rPr>
                <w:b/>
                <w:bCs/>
                <w:color w:val="005580"/>
                <w:sz w:val="30"/>
                <w:szCs w:val="30"/>
              </w:rPr>
              <w:t>The Qualification Framework</w:t>
            </w:r>
          </w:p>
        </w:tc>
      </w:tr>
    </w:tbl>
    <w:p w14:paraId="4AF16AD0" w14:textId="77777777" w:rsidR="008B0E2C" w:rsidRDefault="008B0E2C">
      <w:pPr>
        <w:spacing w:after="40"/>
      </w:pPr>
    </w:p>
    <w:p w14:paraId="2A9B8741" w14:textId="77777777" w:rsidR="008B0E2C" w:rsidRDefault="00000000">
      <w:pPr>
        <w:spacing w:before="60" w:after="110" w:line="284" w:lineRule="auto"/>
      </w:pPr>
      <w:r>
        <w:t>Not every CPG company will qualify for every mechanism. But most mid-to-large CPG brands importing goods from China, Mexico, Canada, or other tariff-affected countries will have at least one viable refund pathway. Start with these four core questions:</w:t>
      </w:r>
    </w:p>
    <w:p w14:paraId="2BA08C5A"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24FD6D8D"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0A878"/>
            <w:tcMar>
              <w:top w:w="80" w:type="dxa"/>
              <w:left w:w="0" w:type="dxa"/>
              <w:bottom w:w="80" w:type="dxa"/>
              <w:right w:w="0" w:type="dxa"/>
            </w:tcMar>
            <w:vAlign w:val="center"/>
          </w:tcPr>
          <w:p w14:paraId="493513F7"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E0F5EE"/>
              <w:right w:val="none" w:sz="0" w:space="0" w:color="FFFFFF"/>
            </w:tcBorders>
            <w:shd w:val="clear" w:color="auto" w:fill="E0F5EE"/>
            <w:tcMar>
              <w:top w:w="100" w:type="dxa"/>
              <w:left w:w="240" w:type="dxa"/>
              <w:bottom w:w="100" w:type="dxa"/>
              <w:right w:w="180" w:type="dxa"/>
            </w:tcMar>
          </w:tcPr>
          <w:p w14:paraId="144BB836" w14:textId="77777777" w:rsidR="008B0E2C" w:rsidRDefault="00000000">
            <w:pPr>
              <w:spacing w:after="36"/>
            </w:pPr>
            <w:r>
              <w:rPr>
                <w:b/>
                <w:bCs/>
                <w:color w:val="007A58"/>
                <w:sz w:val="21"/>
                <w:szCs w:val="21"/>
              </w:rPr>
              <w:t>Did you import goods subject to Section 301 tariffs between 2018 and 2025?</w:t>
            </w:r>
          </w:p>
          <w:p w14:paraId="37E69C0D" w14:textId="77777777" w:rsidR="008B0E2C" w:rsidRDefault="00000000">
            <w:pPr>
              <w:spacing w:line="264" w:lineRule="auto"/>
            </w:pPr>
            <w:r>
              <w:rPr>
                <w:sz w:val="20"/>
                <w:szCs w:val="20"/>
              </w:rPr>
              <w:t>If you imported any goods from China with HTS codes covered by List 1, 2, 3, or 4A tariffs, you have a potential refund exposure to evaluate.</w:t>
            </w:r>
          </w:p>
        </w:tc>
      </w:tr>
    </w:tbl>
    <w:p w14:paraId="296070FF"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2FB8C6F1"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0A878"/>
            <w:tcMar>
              <w:top w:w="80" w:type="dxa"/>
              <w:left w:w="0" w:type="dxa"/>
              <w:bottom w:w="80" w:type="dxa"/>
              <w:right w:w="0" w:type="dxa"/>
            </w:tcMar>
            <w:vAlign w:val="center"/>
          </w:tcPr>
          <w:p w14:paraId="73DBB802"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E0F5EE"/>
              <w:right w:val="none" w:sz="0" w:space="0" w:color="FFFFFF"/>
            </w:tcBorders>
            <w:shd w:val="clear" w:color="auto" w:fill="E0F5EE"/>
            <w:tcMar>
              <w:top w:w="100" w:type="dxa"/>
              <w:left w:w="240" w:type="dxa"/>
              <w:bottom w:w="100" w:type="dxa"/>
              <w:right w:w="180" w:type="dxa"/>
            </w:tcMar>
          </w:tcPr>
          <w:p w14:paraId="4F2F089B" w14:textId="77777777" w:rsidR="008B0E2C" w:rsidRDefault="00000000">
            <w:pPr>
              <w:spacing w:after="36"/>
            </w:pPr>
            <w:r>
              <w:rPr>
                <w:b/>
                <w:bCs/>
                <w:color w:val="007A58"/>
                <w:sz w:val="21"/>
                <w:szCs w:val="21"/>
              </w:rPr>
              <w:t>Were any of your imported goods covered by a USTR exclusion during any period?</w:t>
            </w:r>
          </w:p>
          <w:p w14:paraId="5A6A0117" w14:textId="77777777" w:rsidR="008B0E2C" w:rsidRDefault="00000000">
            <w:pPr>
              <w:spacing w:line="264" w:lineRule="auto"/>
            </w:pPr>
            <w:r>
              <w:rPr>
                <w:sz w:val="20"/>
                <w:szCs w:val="20"/>
              </w:rPr>
              <w:t>USTR granted thousands of product-specific exclusions between 2019 and 2022, many reinstated or under review. If your goods were covered and you paid duties anyway, those duties may be refundable.</w:t>
            </w:r>
          </w:p>
        </w:tc>
      </w:tr>
    </w:tbl>
    <w:p w14:paraId="5EB4E17E"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20231227"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0A878"/>
            <w:tcMar>
              <w:top w:w="80" w:type="dxa"/>
              <w:left w:w="0" w:type="dxa"/>
              <w:bottom w:w="80" w:type="dxa"/>
              <w:right w:w="0" w:type="dxa"/>
            </w:tcMar>
            <w:vAlign w:val="center"/>
          </w:tcPr>
          <w:p w14:paraId="5C3B85B9"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E0F5EE"/>
              <w:right w:val="none" w:sz="0" w:space="0" w:color="FFFFFF"/>
            </w:tcBorders>
            <w:shd w:val="clear" w:color="auto" w:fill="E0F5EE"/>
            <w:tcMar>
              <w:top w:w="100" w:type="dxa"/>
              <w:left w:w="240" w:type="dxa"/>
              <w:bottom w:w="100" w:type="dxa"/>
              <w:right w:w="180" w:type="dxa"/>
            </w:tcMar>
          </w:tcPr>
          <w:p w14:paraId="7285FA12" w14:textId="77777777" w:rsidR="008B0E2C" w:rsidRDefault="00000000">
            <w:pPr>
              <w:spacing w:after="36"/>
            </w:pPr>
            <w:r>
              <w:rPr>
                <w:b/>
                <w:bCs/>
                <w:color w:val="007A58"/>
                <w:sz w:val="21"/>
                <w:szCs w:val="21"/>
              </w:rPr>
              <w:t>Did you export any finished goods containing imported components or ingredients?</w:t>
            </w:r>
          </w:p>
          <w:p w14:paraId="18D78C03" w14:textId="77777777" w:rsidR="008B0E2C" w:rsidRDefault="00000000">
            <w:pPr>
              <w:spacing w:line="264" w:lineRule="auto"/>
            </w:pPr>
            <w:r>
              <w:rPr>
                <w:sz w:val="20"/>
                <w:szCs w:val="20"/>
              </w:rPr>
              <w:t>The duty drawback program allows CPG companies to recover up to 99% of duties paid on imported inputs when the finished product is exported — across food, beverage, household, and personal care categories.</w:t>
            </w:r>
          </w:p>
        </w:tc>
      </w:tr>
    </w:tbl>
    <w:p w14:paraId="7C7C2B72"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249297AD"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0A878"/>
            <w:tcMar>
              <w:top w:w="80" w:type="dxa"/>
              <w:left w:w="0" w:type="dxa"/>
              <w:bottom w:w="80" w:type="dxa"/>
              <w:right w:w="0" w:type="dxa"/>
            </w:tcMar>
            <w:vAlign w:val="center"/>
          </w:tcPr>
          <w:p w14:paraId="429BA6FB"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E0F5EE"/>
              <w:right w:val="none" w:sz="0" w:space="0" w:color="FFFFFF"/>
            </w:tcBorders>
            <w:shd w:val="clear" w:color="auto" w:fill="E0F5EE"/>
            <w:tcMar>
              <w:top w:w="100" w:type="dxa"/>
              <w:left w:w="240" w:type="dxa"/>
              <w:bottom w:w="100" w:type="dxa"/>
              <w:right w:w="180" w:type="dxa"/>
            </w:tcMar>
          </w:tcPr>
          <w:p w14:paraId="6861BAAE" w14:textId="77777777" w:rsidR="008B0E2C" w:rsidRDefault="00000000">
            <w:pPr>
              <w:spacing w:after="36"/>
            </w:pPr>
            <w:r>
              <w:rPr>
                <w:b/>
                <w:bCs/>
                <w:color w:val="007A58"/>
                <w:sz w:val="21"/>
                <w:szCs w:val="21"/>
              </w:rPr>
              <w:t>Did you use an intermediary or buy from a foreign middleman?</w:t>
            </w:r>
          </w:p>
          <w:p w14:paraId="08439AB4" w14:textId="77777777" w:rsidR="008B0E2C" w:rsidRDefault="00000000">
            <w:pPr>
              <w:spacing w:line="264" w:lineRule="auto"/>
            </w:pPr>
            <w:r>
              <w:rPr>
                <w:sz w:val="20"/>
                <w:szCs w:val="20"/>
              </w:rPr>
              <w:t>If you purchased goods through a trading company rather than directly from the manufacturer, First Sale valuation could reduce your effective duty rate — and in some cases retroactive adjustments may apply.</w:t>
            </w:r>
          </w:p>
        </w:tc>
      </w:tr>
    </w:tbl>
    <w:p w14:paraId="26D188BD" w14:textId="77777777" w:rsidR="008B0E2C" w:rsidRDefault="008B0E2C">
      <w:pPr>
        <w:spacing w:after="40"/>
      </w:pPr>
    </w:p>
    <w:p w14:paraId="4F7779AD"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18629085"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3583B279" w14:textId="77777777" w:rsidR="008B0E2C" w:rsidRDefault="00000000">
            <w:r>
              <w:rPr>
                <w:b/>
                <w:bCs/>
                <w:color w:val="005580"/>
                <w:sz w:val="30"/>
                <w:szCs w:val="30"/>
              </w:rPr>
              <w:t>CPG Categories with the Highest Refund Potential</w:t>
            </w:r>
          </w:p>
        </w:tc>
      </w:tr>
    </w:tbl>
    <w:p w14:paraId="184EF983"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3360"/>
        <w:gridCol w:w="3480"/>
      </w:tblGrid>
      <w:tr w:rsidR="008B0E2C" w14:paraId="0DA70983" w14:textId="77777777">
        <w:tblPrEx>
          <w:tblCellMar>
            <w:top w:w="0" w:type="dxa"/>
            <w:bottom w:w="0" w:type="dxa"/>
          </w:tblCellMar>
        </w:tblPrEx>
        <w:trPr>
          <w:tblHeader/>
        </w:trPr>
        <w:tc>
          <w:tcPr>
            <w:tcW w:w="288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28C6DD19" w14:textId="77777777" w:rsidR="008B0E2C" w:rsidRDefault="00000000">
            <w:r>
              <w:rPr>
                <w:b/>
                <w:bCs/>
                <w:color w:val="FFFFFF"/>
                <w:sz w:val="19"/>
                <w:szCs w:val="19"/>
              </w:rPr>
              <w:t>Category</w:t>
            </w:r>
          </w:p>
        </w:tc>
        <w:tc>
          <w:tcPr>
            <w:tcW w:w="336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701CDEFF" w14:textId="77777777" w:rsidR="008B0E2C" w:rsidRDefault="00000000">
            <w:r>
              <w:rPr>
                <w:b/>
                <w:bCs/>
                <w:color w:val="FFFFFF"/>
                <w:sz w:val="19"/>
                <w:szCs w:val="19"/>
              </w:rPr>
              <w:t>Key Tariff Exposure</w:t>
            </w:r>
          </w:p>
        </w:tc>
        <w:tc>
          <w:tcPr>
            <w:tcW w:w="348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1EA3D174" w14:textId="77777777" w:rsidR="008B0E2C" w:rsidRDefault="00000000">
            <w:r>
              <w:rPr>
                <w:b/>
                <w:bCs/>
                <w:color w:val="FFFFFF"/>
                <w:sz w:val="19"/>
                <w:szCs w:val="19"/>
              </w:rPr>
              <w:t>Primary Refund Pathway</w:t>
            </w:r>
          </w:p>
        </w:tc>
      </w:tr>
      <w:tr w:rsidR="008B0E2C" w14:paraId="4C4869A3"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5C24AD2C" w14:textId="77777777" w:rsidR="008B0E2C" w:rsidRDefault="00000000">
            <w:r>
              <w:rPr>
                <w:b/>
                <w:bCs/>
                <w:color w:val="005580"/>
                <w:sz w:val="19"/>
                <w:szCs w:val="19"/>
              </w:rPr>
              <w:t>Packaging &amp; Materials</w:t>
            </w:r>
          </w:p>
        </w:tc>
        <w:tc>
          <w:tcPr>
            <w:tcW w:w="33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06144EE0" w14:textId="77777777" w:rsidR="008B0E2C" w:rsidRDefault="00000000">
            <w:r>
              <w:rPr>
                <w:sz w:val="19"/>
                <w:szCs w:val="19"/>
              </w:rPr>
              <w:t>Section 301 List 3 / 4A</w:t>
            </w:r>
          </w:p>
        </w:tc>
        <w:tc>
          <w:tcPr>
            <w:tcW w:w="34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54228B57" w14:textId="77777777" w:rsidR="008B0E2C" w:rsidRDefault="00000000">
            <w:r>
              <w:rPr>
                <w:sz w:val="19"/>
                <w:szCs w:val="19"/>
              </w:rPr>
              <w:t>Section 301 Exclusions</w:t>
            </w:r>
          </w:p>
        </w:tc>
      </w:tr>
      <w:tr w:rsidR="008B0E2C" w14:paraId="3A994F31"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110974AC" w14:textId="77777777" w:rsidR="008B0E2C" w:rsidRDefault="00000000">
            <w:r>
              <w:rPr>
                <w:b/>
                <w:bCs/>
                <w:color w:val="005580"/>
                <w:sz w:val="19"/>
                <w:szCs w:val="19"/>
              </w:rPr>
              <w:t>Food Ingredients</w:t>
            </w:r>
          </w:p>
        </w:tc>
        <w:tc>
          <w:tcPr>
            <w:tcW w:w="33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32CDB7E3" w14:textId="77777777" w:rsidR="008B0E2C" w:rsidRDefault="00000000">
            <w:r>
              <w:rPr>
                <w:sz w:val="19"/>
                <w:szCs w:val="19"/>
              </w:rPr>
              <w:t>Section 301 / Reciprocal 2025</w:t>
            </w:r>
          </w:p>
        </w:tc>
        <w:tc>
          <w:tcPr>
            <w:tcW w:w="34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19144B4C" w14:textId="77777777" w:rsidR="008B0E2C" w:rsidRDefault="00000000">
            <w:r>
              <w:rPr>
                <w:sz w:val="19"/>
                <w:szCs w:val="19"/>
              </w:rPr>
              <w:t>Drawback + Exclusions</w:t>
            </w:r>
          </w:p>
        </w:tc>
      </w:tr>
      <w:tr w:rsidR="008B0E2C" w14:paraId="25190AB7"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267FE790" w14:textId="77777777" w:rsidR="008B0E2C" w:rsidRDefault="00000000">
            <w:r>
              <w:rPr>
                <w:b/>
                <w:bCs/>
                <w:color w:val="005580"/>
                <w:sz w:val="19"/>
                <w:szCs w:val="19"/>
              </w:rPr>
              <w:t>Personal Care Components</w:t>
            </w:r>
          </w:p>
        </w:tc>
        <w:tc>
          <w:tcPr>
            <w:tcW w:w="33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3E35436" w14:textId="77777777" w:rsidR="008B0E2C" w:rsidRDefault="00000000">
            <w:r>
              <w:rPr>
                <w:sz w:val="19"/>
                <w:szCs w:val="19"/>
              </w:rPr>
              <w:t>Section 301 List 3</w:t>
            </w:r>
          </w:p>
        </w:tc>
        <w:tc>
          <w:tcPr>
            <w:tcW w:w="34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3224761" w14:textId="77777777" w:rsidR="008B0E2C" w:rsidRDefault="00000000">
            <w:r>
              <w:rPr>
                <w:sz w:val="19"/>
                <w:szCs w:val="19"/>
              </w:rPr>
              <w:t>HTS Reclassification</w:t>
            </w:r>
          </w:p>
        </w:tc>
      </w:tr>
      <w:tr w:rsidR="008B0E2C" w14:paraId="7F5FE2DC"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4CBCC3FB" w14:textId="77777777" w:rsidR="008B0E2C" w:rsidRDefault="00000000">
            <w:r>
              <w:rPr>
                <w:b/>
                <w:bCs/>
                <w:color w:val="005580"/>
                <w:sz w:val="19"/>
                <w:szCs w:val="19"/>
              </w:rPr>
              <w:t>Household Goods</w:t>
            </w:r>
          </w:p>
        </w:tc>
        <w:tc>
          <w:tcPr>
            <w:tcW w:w="33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00B74230" w14:textId="77777777" w:rsidR="008B0E2C" w:rsidRDefault="00000000">
            <w:r>
              <w:rPr>
                <w:sz w:val="19"/>
                <w:szCs w:val="19"/>
              </w:rPr>
              <w:t>Section 301 List 4A</w:t>
            </w:r>
          </w:p>
        </w:tc>
        <w:tc>
          <w:tcPr>
            <w:tcW w:w="34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1172E24A" w14:textId="77777777" w:rsidR="008B0E2C" w:rsidRDefault="00000000">
            <w:r>
              <w:rPr>
                <w:sz w:val="19"/>
                <w:szCs w:val="19"/>
              </w:rPr>
              <w:t>Section 301 Exclusions</w:t>
            </w:r>
          </w:p>
        </w:tc>
      </w:tr>
      <w:tr w:rsidR="008B0E2C" w14:paraId="78D33A7E"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C8EFD2F" w14:textId="77777777" w:rsidR="008B0E2C" w:rsidRDefault="00000000">
            <w:r>
              <w:rPr>
                <w:b/>
                <w:bCs/>
                <w:color w:val="005580"/>
                <w:sz w:val="19"/>
                <w:szCs w:val="19"/>
              </w:rPr>
              <w:t>Pet Food Ingredients</w:t>
            </w:r>
          </w:p>
        </w:tc>
        <w:tc>
          <w:tcPr>
            <w:tcW w:w="33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3493BB7B" w14:textId="77777777" w:rsidR="008B0E2C" w:rsidRDefault="00000000">
            <w:r>
              <w:rPr>
                <w:sz w:val="19"/>
                <w:szCs w:val="19"/>
              </w:rPr>
              <w:t>Section 301 / Agricultural</w:t>
            </w:r>
          </w:p>
        </w:tc>
        <w:tc>
          <w:tcPr>
            <w:tcW w:w="34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228C3B7F" w14:textId="77777777" w:rsidR="008B0E2C" w:rsidRDefault="00000000">
            <w:r>
              <w:rPr>
                <w:sz w:val="19"/>
                <w:szCs w:val="19"/>
              </w:rPr>
              <w:t>Drawback + First Sale</w:t>
            </w:r>
          </w:p>
        </w:tc>
      </w:tr>
      <w:tr w:rsidR="008B0E2C" w14:paraId="12319E1B"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5A77FF4A" w14:textId="77777777" w:rsidR="008B0E2C" w:rsidRDefault="00000000">
            <w:r>
              <w:rPr>
                <w:b/>
                <w:bCs/>
                <w:color w:val="005580"/>
                <w:sz w:val="19"/>
                <w:szCs w:val="19"/>
              </w:rPr>
              <w:t>Beverage Inputs</w:t>
            </w:r>
          </w:p>
        </w:tc>
        <w:tc>
          <w:tcPr>
            <w:tcW w:w="33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48899BF7" w14:textId="77777777" w:rsidR="008B0E2C" w:rsidRDefault="00000000">
            <w:r>
              <w:rPr>
                <w:sz w:val="19"/>
                <w:szCs w:val="19"/>
              </w:rPr>
              <w:t>Section 301 + IEEPA 2025</w:t>
            </w:r>
          </w:p>
        </w:tc>
        <w:tc>
          <w:tcPr>
            <w:tcW w:w="34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623123A7" w14:textId="77777777" w:rsidR="008B0E2C" w:rsidRDefault="00000000">
            <w:r>
              <w:rPr>
                <w:sz w:val="19"/>
                <w:szCs w:val="19"/>
              </w:rPr>
              <w:t>Exclusion Review + Drawback</w:t>
            </w:r>
          </w:p>
        </w:tc>
      </w:tr>
    </w:tbl>
    <w:p w14:paraId="148B1C85" w14:textId="77777777" w:rsidR="008B0E2C" w:rsidRDefault="008B0E2C">
      <w:pPr>
        <w:spacing w:after="160"/>
      </w:pPr>
    </w:p>
    <w:p w14:paraId="37D1E253"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1750564E"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09E452FC" w14:textId="77777777" w:rsidR="008B0E2C" w:rsidRDefault="00000000">
            <w:r>
              <w:rPr>
                <w:b/>
                <w:bCs/>
                <w:color w:val="00A878"/>
                <w:spacing w:val="300"/>
                <w:sz w:val="18"/>
                <w:szCs w:val="18"/>
              </w:rPr>
              <w:t>SECTION 3</w:t>
            </w:r>
            <w:r>
              <w:rPr>
                <w:color w:val="0099CC"/>
                <w:sz w:val="28"/>
                <w:szCs w:val="28"/>
              </w:rPr>
              <w:t xml:space="preserve">   —   </w:t>
            </w:r>
            <w:r>
              <w:rPr>
                <w:b/>
                <w:bCs/>
                <w:color w:val="FFFFFF"/>
                <w:sz w:val="40"/>
                <w:szCs w:val="40"/>
              </w:rPr>
              <w:t>The CFO's Tariff Refund Playbook</w:t>
            </w:r>
          </w:p>
        </w:tc>
      </w:tr>
      <w:tr w:rsidR="008B0E2C" w14:paraId="5B708188"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000BB021" w14:textId="77777777" w:rsidR="008B0E2C" w:rsidRDefault="00000000">
            <w:r>
              <w:rPr>
                <w:i/>
                <w:iCs/>
                <w:color w:val="E0F4FB"/>
              </w:rPr>
              <w:t>Four high-impact steps to lead your recovery effort</w:t>
            </w:r>
          </w:p>
        </w:tc>
      </w:tr>
    </w:tbl>
    <w:p w14:paraId="06262A4F" w14:textId="77777777" w:rsidR="008B0E2C" w:rsidRDefault="008B0E2C">
      <w:pPr>
        <w:spacing w:after="80"/>
      </w:pPr>
    </w:p>
    <w:p w14:paraId="0131C908" w14:textId="77777777" w:rsidR="008B0E2C" w:rsidRDefault="00000000">
      <w:pPr>
        <w:spacing w:before="80" w:after="120" w:line="290" w:lineRule="auto"/>
      </w:pPr>
      <w:r>
        <w:rPr>
          <w:i/>
          <w:iCs/>
          <w:color w:val="1A4A6B"/>
          <w:sz w:val="24"/>
          <w:szCs w:val="24"/>
        </w:rPr>
        <w:t>The CFO is the quarterback of any successful tariff refund effort. Your role spans strategic oversight, financial quantification, and cross-functional coordination.</w:t>
      </w:r>
    </w:p>
    <w:p w14:paraId="6DF9F173"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454B55DE"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28B0B5CD" w14:textId="77777777" w:rsidR="008B0E2C" w:rsidRDefault="00000000">
            <w:pPr>
              <w:spacing w:before="40"/>
              <w:jc w:val="center"/>
            </w:pPr>
            <w:r>
              <w:rPr>
                <w:b/>
                <w:bCs/>
                <w:color w:val="FFFFFF"/>
                <w:sz w:val="30"/>
                <w:szCs w:val="30"/>
              </w:rPr>
              <w:t>01</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1E3B436E" w14:textId="77777777" w:rsidR="008B0E2C" w:rsidRDefault="00000000">
            <w:pPr>
              <w:spacing w:after="50"/>
            </w:pPr>
            <w:r>
              <w:rPr>
                <w:b/>
                <w:bCs/>
                <w:color w:val="005580"/>
              </w:rPr>
              <w:t>Commission a Tariff Exposure Audit</w:t>
            </w:r>
          </w:p>
          <w:p w14:paraId="62969126" w14:textId="77777777" w:rsidR="008B0E2C" w:rsidRDefault="00000000">
            <w:pPr>
              <w:spacing w:line="268" w:lineRule="auto"/>
            </w:pPr>
            <w:r>
              <w:rPr>
                <w:sz w:val="21"/>
                <w:szCs w:val="21"/>
              </w:rPr>
              <w:t>Before you can recover anything, you need to know what you paid. A Tariff Exposure Audit involves pulling 3–5 years of import records and mapping every entry to its HTS code, duty rate, and applicable tariff action. This is foundational — without it, you are flying blind.</w:t>
            </w:r>
          </w:p>
        </w:tc>
      </w:tr>
    </w:tbl>
    <w:p w14:paraId="7629F12C"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60CEE92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421628C9" w14:textId="77777777" w:rsidR="008B0E2C" w:rsidRDefault="00000000">
            <w:pPr>
              <w:spacing w:before="40"/>
              <w:jc w:val="center"/>
            </w:pPr>
            <w:r>
              <w:rPr>
                <w:b/>
                <w:bCs/>
                <w:color w:val="FFFFFF"/>
                <w:sz w:val="30"/>
                <w:szCs w:val="30"/>
              </w:rPr>
              <w:t>02</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67276DF9" w14:textId="77777777" w:rsidR="008B0E2C" w:rsidRDefault="00000000">
            <w:pPr>
              <w:spacing w:after="50"/>
            </w:pPr>
            <w:r>
              <w:rPr>
                <w:b/>
                <w:bCs/>
                <w:color w:val="007A58"/>
              </w:rPr>
              <w:t>Engage a Licensed Customs Attorney or Trade Advisor</w:t>
            </w:r>
          </w:p>
          <w:p w14:paraId="6EB2EA2E" w14:textId="77777777" w:rsidR="008B0E2C" w:rsidRDefault="00000000">
            <w:pPr>
              <w:spacing w:line="268" w:lineRule="auto"/>
            </w:pPr>
            <w:r>
              <w:rPr>
                <w:sz w:val="21"/>
                <w:szCs w:val="21"/>
              </w:rPr>
              <w:t>A tariff refund is a legal and regulatory process. Filing errors or missed deadlines can permanently bar recovery. Ensure you have qualified legal counsel involved — either a licensed customs attorney or a trade advisory firm with CBP experience.</w:t>
            </w:r>
          </w:p>
        </w:tc>
      </w:tr>
    </w:tbl>
    <w:p w14:paraId="7CD3ACDF"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4E244233"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5F9BE530" w14:textId="77777777" w:rsidR="008B0E2C" w:rsidRDefault="00000000">
            <w:pPr>
              <w:spacing w:before="40"/>
              <w:jc w:val="center"/>
            </w:pPr>
            <w:r>
              <w:rPr>
                <w:b/>
                <w:bCs/>
                <w:color w:val="FFFFFF"/>
                <w:sz w:val="30"/>
                <w:szCs w:val="30"/>
              </w:rPr>
              <w:t>03</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7AB45E24" w14:textId="77777777" w:rsidR="008B0E2C" w:rsidRDefault="00000000">
            <w:pPr>
              <w:spacing w:after="50"/>
            </w:pPr>
            <w:r>
              <w:rPr>
                <w:b/>
                <w:bCs/>
                <w:color w:val="005580"/>
              </w:rPr>
              <w:t>Prioritize Refund Pathways by ROI</w:t>
            </w:r>
          </w:p>
          <w:p w14:paraId="748C8702" w14:textId="77777777" w:rsidR="008B0E2C" w:rsidRDefault="00000000">
            <w:pPr>
              <w:spacing w:line="268" w:lineRule="auto"/>
            </w:pPr>
            <w:r>
              <w:rPr>
                <w:sz w:val="21"/>
                <w:szCs w:val="21"/>
              </w:rPr>
              <w:t>Not every refund mechanism is worth pursuing with equal intensity. Establish a recovery priority matrix based on documentation availability, claim size, and probability of success.</w:t>
            </w:r>
          </w:p>
        </w:tc>
      </w:tr>
    </w:tbl>
    <w:p w14:paraId="600C7CB6"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1A2130D8"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5A193851" w14:textId="77777777" w:rsidR="008B0E2C" w:rsidRDefault="00000000">
            <w:pPr>
              <w:spacing w:before="40"/>
              <w:jc w:val="center"/>
            </w:pPr>
            <w:r>
              <w:rPr>
                <w:b/>
                <w:bCs/>
                <w:color w:val="FFFFFF"/>
                <w:sz w:val="30"/>
                <w:szCs w:val="30"/>
              </w:rPr>
              <w:t>04</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14927257" w14:textId="77777777" w:rsidR="008B0E2C" w:rsidRDefault="00000000">
            <w:pPr>
              <w:spacing w:after="50"/>
            </w:pPr>
            <w:r>
              <w:rPr>
                <w:b/>
                <w:bCs/>
                <w:color w:val="007A58"/>
              </w:rPr>
              <w:t>Build Internal Financial Controls for Ongoing Tariff Management</w:t>
            </w:r>
          </w:p>
          <w:p w14:paraId="51393132" w14:textId="77777777" w:rsidR="008B0E2C" w:rsidRDefault="00000000">
            <w:pPr>
              <w:spacing w:line="268" w:lineRule="auto"/>
            </w:pPr>
            <w:r>
              <w:rPr>
                <w:sz w:val="21"/>
                <w:szCs w:val="21"/>
              </w:rPr>
              <w:t>A refund recovery effort is not a one-time event. CFOs who build durable monitoring systems will capture ongoing savings long after the initial refund cycle closes.</w:t>
            </w:r>
          </w:p>
        </w:tc>
      </w:tr>
    </w:tbl>
    <w:p w14:paraId="065B949B" w14:textId="77777777" w:rsidR="008B0E2C" w:rsidRDefault="008B0E2C">
      <w:pPr>
        <w:spacing w:after="32"/>
      </w:pPr>
    </w:p>
    <w:p w14:paraId="0260B263" w14:textId="77777777" w:rsidR="008B0E2C" w:rsidRDefault="008B0E2C">
      <w:pPr>
        <w:spacing w:after="80"/>
      </w:pPr>
    </w:p>
    <w:p w14:paraId="52A83CA8" w14:textId="77777777" w:rsidR="008B0E2C" w:rsidRDefault="00000000">
      <w:pPr>
        <w:spacing w:before="200" w:after="80"/>
      </w:pPr>
      <w:proofErr w:type="gramStart"/>
      <w:r>
        <w:rPr>
          <w:b/>
          <w:bCs/>
          <w:color w:val="00A878"/>
          <w:sz w:val="20"/>
          <w:szCs w:val="20"/>
        </w:rPr>
        <w:t xml:space="preserve">►  </w:t>
      </w:r>
      <w:r>
        <w:rPr>
          <w:b/>
          <w:bCs/>
          <w:color w:val="1A4A6B"/>
        </w:rPr>
        <w:t>CFO</w:t>
      </w:r>
      <w:proofErr w:type="gramEnd"/>
      <w:r>
        <w:rPr>
          <w:b/>
          <w:bCs/>
          <w:color w:val="1A4A6B"/>
        </w:rPr>
        <w:t xml:space="preserve"> Action Items — Tariff Audit:</w:t>
      </w:r>
    </w:p>
    <w:p w14:paraId="1B2BD7D2" w14:textId="77777777" w:rsidR="008B0E2C" w:rsidRDefault="00000000">
      <w:pPr>
        <w:pStyle w:val="ListParagraph"/>
        <w:numPr>
          <w:ilvl w:val="0"/>
          <w:numId w:val="2"/>
        </w:numPr>
        <w:spacing w:before="60" w:after="60" w:line="272" w:lineRule="auto"/>
      </w:pPr>
      <w:r>
        <w:rPr>
          <w:sz w:val="21"/>
          <w:szCs w:val="21"/>
        </w:rPr>
        <w:t>Direct your Controller to pull CBP entry summaries from ACE (Automated Commercial Environment) for the past 5 years</w:t>
      </w:r>
    </w:p>
    <w:p w14:paraId="7C035526" w14:textId="77777777" w:rsidR="008B0E2C" w:rsidRDefault="00000000">
      <w:pPr>
        <w:pStyle w:val="ListParagraph"/>
        <w:numPr>
          <w:ilvl w:val="0"/>
          <w:numId w:val="2"/>
        </w:numPr>
        <w:spacing w:before="60" w:after="60" w:line="272" w:lineRule="auto"/>
      </w:pPr>
      <w:r>
        <w:rPr>
          <w:sz w:val="21"/>
          <w:szCs w:val="21"/>
        </w:rPr>
        <w:t>Engage your customs broker to export a complete duty payment history with HTS codes</w:t>
      </w:r>
    </w:p>
    <w:p w14:paraId="26E6860C" w14:textId="77777777" w:rsidR="008B0E2C" w:rsidRDefault="00000000">
      <w:pPr>
        <w:pStyle w:val="ListParagraph"/>
        <w:numPr>
          <w:ilvl w:val="0"/>
          <w:numId w:val="2"/>
        </w:numPr>
        <w:spacing w:before="60" w:after="60" w:line="272" w:lineRule="auto"/>
      </w:pPr>
      <w:r>
        <w:rPr>
          <w:sz w:val="21"/>
          <w:szCs w:val="21"/>
        </w:rPr>
        <w:t>Flag all entries with HTS codes in the 8400–8473, 6901–7020, 3900–3999, and 2000–2999 series — highest Section 301 exposure</w:t>
      </w:r>
    </w:p>
    <w:p w14:paraId="74B13BC5" w14:textId="77777777" w:rsidR="008B0E2C" w:rsidRDefault="00000000">
      <w:pPr>
        <w:pStyle w:val="ListParagraph"/>
        <w:numPr>
          <w:ilvl w:val="0"/>
          <w:numId w:val="2"/>
        </w:numPr>
        <w:spacing w:before="60" w:after="60" w:line="272" w:lineRule="auto"/>
      </w:pPr>
      <w:r>
        <w:rPr>
          <w:sz w:val="21"/>
          <w:szCs w:val="21"/>
        </w:rPr>
        <w:t>Quantify total duty spend by year, supplier, and product category</w:t>
      </w:r>
    </w:p>
    <w:p w14:paraId="4E4EE45C" w14:textId="77777777" w:rsidR="008B0E2C" w:rsidRDefault="00000000">
      <w:pPr>
        <w:pStyle w:val="ListParagraph"/>
        <w:numPr>
          <w:ilvl w:val="0"/>
          <w:numId w:val="2"/>
        </w:numPr>
        <w:spacing w:before="60" w:after="60" w:line="272" w:lineRule="auto"/>
      </w:pPr>
      <w:r>
        <w:rPr>
          <w:sz w:val="21"/>
          <w:szCs w:val="21"/>
        </w:rPr>
        <w:t>Identify entries where the importer of record was a third party — these require additional documentation</w:t>
      </w:r>
    </w:p>
    <w:p w14:paraId="439B7790"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320"/>
      </w:tblGrid>
      <w:tr w:rsidR="008B0E2C" w14:paraId="4B9FFEDF"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00A878"/>
            <w:tcMar>
              <w:top w:w="0" w:type="dxa"/>
              <w:left w:w="0" w:type="dxa"/>
              <w:bottom w:w="0" w:type="dxa"/>
              <w:right w:w="0" w:type="dxa"/>
            </w:tcMar>
          </w:tcPr>
          <w:p w14:paraId="3E46967F" w14:textId="77777777" w:rsidR="008B0E2C" w:rsidRDefault="00000000">
            <w:pPr>
              <w:spacing w:before="160"/>
              <w:jc w:val="center"/>
            </w:pPr>
            <w:r>
              <w:rPr>
                <w:color w:val="FFFFFF"/>
                <w:sz w:val="28"/>
                <w:szCs w:val="28"/>
              </w:rPr>
              <w:t>★</w:t>
            </w:r>
          </w:p>
        </w:tc>
        <w:tc>
          <w:tcPr>
            <w:tcW w:w="9320" w:type="dxa"/>
            <w:tcBorders>
              <w:top w:val="none" w:sz="0" w:space="0" w:color="FFFFFF"/>
              <w:left w:val="none" w:sz="0" w:space="0" w:color="FFFFFF"/>
              <w:bottom w:val="none" w:sz="0" w:space="0" w:color="FFFFFF"/>
              <w:right w:val="none" w:sz="0" w:space="0" w:color="FFFFFF"/>
            </w:tcBorders>
            <w:shd w:val="clear" w:color="auto" w:fill="E0F5EE"/>
            <w:tcMar>
              <w:top w:w="160" w:type="dxa"/>
              <w:left w:w="260" w:type="dxa"/>
              <w:bottom w:w="160" w:type="dxa"/>
              <w:right w:w="220" w:type="dxa"/>
            </w:tcMar>
          </w:tcPr>
          <w:p w14:paraId="35084F0B" w14:textId="77777777" w:rsidR="008B0E2C" w:rsidRDefault="00000000">
            <w:pPr>
              <w:spacing w:after="60"/>
            </w:pPr>
            <w:r>
              <w:rPr>
                <w:b/>
                <w:bCs/>
                <w:color w:val="007A58"/>
              </w:rPr>
              <w:t>BELAY Advantage</w:t>
            </w:r>
          </w:p>
          <w:p w14:paraId="1ACD28B9" w14:textId="77777777" w:rsidR="008B0E2C" w:rsidRDefault="00000000">
            <w:pPr>
              <w:spacing w:line="270" w:lineRule="auto"/>
            </w:pPr>
            <w:r>
              <w:rPr>
                <w:sz w:val="21"/>
                <w:szCs w:val="21"/>
              </w:rPr>
              <w:t>BELAY’s fractional CFOs and virtual accounting professionals have helped CPG companies conduct exactly this kind of import audit — without adding headcount. Our team integrates with your existing customs broker and ERP system to build a clean duty payment register in weeks, not months.</w:t>
            </w:r>
          </w:p>
        </w:tc>
      </w:tr>
    </w:tbl>
    <w:p w14:paraId="54019DA8"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683D5698"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5D0A1E68" w14:textId="77777777" w:rsidR="008B0E2C" w:rsidRDefault="00000000">
            <w:r>
              <w:rPr>
                <w:b/>
                <w:bCs/>
                <w:color w:val="005580"/>
                <w:sz w:val="30"/>
                <w:szCs w:val="30"/>
              </w:rPr>
              <w:t>CFO Priority Matrix: Refund Pathways by ROI</w:t>
            </w:r>
          </w:p>
        </w:tc>
      </w:tr>
    </w:tbl>
    <w:p w14:paraId="142FE4C1"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2160"/>
        <w:gridCol w:w="2160"/>
        <w:gridCol w:w="2520"/>
      </w:tblGrid>
      <w:tr w:rsidR="008B0E2C" w14:paraId="1F0A56C8" w14:textId="77777777">
        <w:tblPrEx>
          <w:tblCellMar>
            <w:top w:w="0" w:type="dxa"/>
            <w:bottom w:w="0" w:type="dxa"/>
          </w:tblCellMar>
        </w:tblPrEx>
        <w:trPr>
          <w:tblHeader/>
        </w:trPr>
        <w:tc>
          <w:tcPr>
            <w:tcW w:w="288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0C678A4C" w14:textId="77777777" w:rsidR="008B0E2C" w:rsidRDefault="00000000">
            <w:r>
              <w:rPr>
                <w:b/>
                <w:bCs/>
                <w:color w:val="FFFFFF"/>
                <w:sz w:val="19"/>
                <w:szCs w:val="19"/>
              </w:rPr>
              <w:t>Mechanism</w:t>
            </w:r>
          </w:p>
        </w:tc>
        <w:tc>
          <w:tcPr>
            <w:tcW w:w="216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7B313257" w14:textId="77777777" w:rsidR="008B0E2C" w:rsidRDefault="00000000">
            <w:r>
              <w:rPr>
                <w:b/>
                <w:bCs/>
                <w:color w:val="FFFFFF"/>
                <w:sz w:val="19"/>
                <w:szCs w:val="19"/>
              </w:rPr>
              <w:t>Typical Recovery</w:t>
            </w:r>
          </w:p>
        </w:tc>
        <w:tc>
          <w:tcPr>
            <w:tcW w:w="216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29651E4E" w14:textId="77777777" w:rsidR="008B0E2C" w:rsidRDefault="00000000">
            <w:r>
              <w:rPr>
                <w:b/>
                <w:bCs/>
                <w:color w:val="FFFFFF"/>
                <w:sz w:val="19"/>
                <w:szCs w:val="19"/>
              </w:rPr>
              <w:t>Complexity</w:t>
            </w:r>
          </w:p>
        </w:tc>
        <w:tc>
          <w:tcPr>
            <w:tcW w:w="2520" w:type="dxa"/>
            <w:tcBorders>
              <w:top w:val="none" w:sz="0" w:space="0" w:color="FFFFFF"/>
              <w:left w:val="none" w:sz="0" w:space="0" w:color="FFFFFF"/>
              <w:bottom w:val="none" w:sz="0" w:space="0" w:color="FFFFFF"/>
              <w:right w:val="none" w:sz="0" w:space="0" w:color="FFFFFF"/>
            </w:tcBorders>
            <w:shd w:val="clear" w:color="auto" w:fill="005580"/>
            <w:tcMar>
              <w:top w:w="120" w:type="dxa"/>
              <w:left w:w="160" w:type="dxa"/>
              <w:bottom w:w="120" w:type="dxa"/>
              <w:right w:w="120" w:type="dxa"/>
            </w:tcMar>
          </w:tcPr>
          <w:p w14:paraId="274862FD" w14:textId="77777777" w:rsidR="008B0E2C" w:rsidRDefault="00000000">
            <w:r>
              <w:rPr>
                <w:b/>
                <w:bCs/>
                <w:color w:val="FFFFFF"/>
                <w:sz w:val="19"/>
                <w:szCs w:val="19"/>
              </w:rPr>
              <w:t>Priority</w:t>
            </w:r>
          </w:p>
        </w:tc>
      </w:tr>
      <w:tr w:rsidR="008B0E2C" w14:paraId="622A5153"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6AB00C72" w14:textId="77777777" w:rsidR="008B0E2C" w:rsidRDefault="00000000">
            <w:r>
              <w:rPr>
                <w:b/>
                <w:bCs/>
                <w:color w:val="005580"/>
                <w:sz w:val="19"/>
                <w:szCs w:val="19"/>
              </w:rPr>
              <w:t>Section 301 Exclusions</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7EDA70CA" w14:textId="77777777" w:rsidR="008B0E2C" w:rsidRDefault="00000000">
            <w:r>
              <w:rPr>
                <w:sz w:val="19"/>
                <w:szCs w:val="19"/>
              </w:rPr>
              <w:t>100% of duties paid</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D25ED7F" w14:textId="77777777" w:rsidR="008B0E2C" w:rsidRDefault="00000000">
            <w:r>
              <w:rPr>
                <w:sz w:val="19"/>
                <w:szCs w:val="19"/>
              </w:rPr>
              <w:t>Medium</w:t>
            </w:r>
          </w:p>
        </w:tc>
        <w:tc>
          <w:tcPr>
            <w:tcW w:w="2520" w:type="dxa"/>
            <w:tcBorders>
              <w:top w:val="single" w:sz="2" w:space="0" w:color="E0F5EE"/>
              <w:left w:val="single" w:sz="2" w:space="0" w:color="E0F5EE"/>
              <w:bottom w:val="single" w:sz="2" w:space="0" w:color="E0F5EE"/>
              <w:right w:val="single" w:sz="2" w:space="0" w:color="E0F5EE"/>
            </w:tcBorders>
            <w:shd w:val="clear" w:color="auto" w:fill="E0F5EE"/>
            <w:tcMar>
              <w:top w:w="100" w:type="dxa"/>
              <w:left w:w="160" w:type="dxa"/>
              <w:bottom w:w="100" w:type="dxa"/>
              <w:right w:w="120" w:type="dxa"/>
            </w:tcMar>
          </w:tcPr>
          <w:p w14:paraId="5314DB35" w14:textId="77777777" w:rsidR="008B0E2C" w:rsidRDefault="00000000">
            <w:r>
              <w:rPr>
                <w:b/>
                <w:bCs/>
                <w:color w:val="007A58"/>
                <w:sz w:val="19"/>
                <w:szCs w:val="19"/>
              </w:rPr>
              <w:t>★★★ Highest Priority</w:t>
            </w:r>
          </w:p>
        </w:tc>
      </w:tr>
      <w:tr w:rsidR="008B0E2C" w14:paraId="1651490B"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0C7ECB86" w14:textId="77777777" w:rsidR="008B0E2C" w:rsidRDefault="00000000">
            <w:r>
              <w:rPr>
                <w:b/>
                <w:bCs/>
                <w:color w:val="005580"/>
                <w:sz w:val="19"/>
                <w:szCs w:val="19"/>
              </w:rPr>
              <w:t>Duty Drawback</w:t>
            </w:r>
          </w:p>
        </w:tc>
        <w:tc>
          <w:tcPr>
            <w:tcW w:w="21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77529C82" w14:textId="77777777" w:rsidR="008B0E2C" w:rsidRDefault="00000000">
            <w:r>
              <w:rPr>
                <w:sz w:val="19"/>
                <w:szCs w:val="19"/>
              </w:rPr>
              <w:t>Up to 99% of duties</w:t>
            </w:r>
          </w:p>
        </w:tc>
        <w:tc>
          <w:tcPr>
            <w:tcW w:w="21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374B1659" w14:textId="77777777" w:rsidR="008B0E2C" w:rsidRDefault="00000000">
            <w:r>
              <w:rPr>
                <w:sz w:val="19"/>
                <w:szCs w:val="19"/>
              </w:rPr>
              <w:t>High</w:t>
            </w:r>
          </w:p>
        </w:tc>
        <w:tc>
          <w:tcPr>
            <w:tcW w:w="2520" w:type="dxa"/>
            <w:tcBorders>
              <w:top w:val="single" w:sz="2" w:space="0" w:color="E0F5EE"/>
              <w:left w:val="single" w:sz="2" w:space="0" w:color="E0F5EE"/>
              <w:bottom w:val="single" w:sz="2" w:space="0" w:color="E0F5EE"/>
              <w:right w:val="single" w:sz="2" w:space="0" w:color="E0F5EE"/>
            </w:tcBorders>
            <w:shd w:val="clear" w:color="auto" w:fill="E0F5EE"/>
            <w:tcMar>
              <w:top w:w="100" w:type="dxa"/>
              <w:left w:w="160" w:type="dxa"/>
              <w:bottom w:w="100" w:type="dxa"/>
              <w:right w:w="120" w:type="dxa"/>
            </w:tcMar>
          </w:tcPr>
          <w:p w14:paraId="56A51631" w14:textId="77777777" w:rsidR="008B0E2C" w:rsidRDefault="00000000">
            <w:r>
              <w:rPr>
                <w:b/>
                <w:bCs/>
                <w:color w:val="007A58"/>
                <w:sz w:val="19"/>
                <w:szCs w:val="19"/>
              </w:rPr>
              <w:t>★★★ Highest Priority</w:t>
            </w:r>
          </w:p>
        </w:tc>
      </w:tr>
      <w:tr w:rsidR="008B0E2C" w14:paraId="0A64191F"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476BEC69" w14:textId="77777777" w:rsidR="008B0E2C" w:rsidRDefault="00000000">
            <w:r>
              <w:rPr>
                <w:b/>
                <w:bCs/>
                <w:color w:val="005580"/>
                <w:sz w:val="19"/>
                <w:szCs w:val="19"/>
              </w:rPr>
              <w:t>HTS Reclassification</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2594194" w14:textId="77777777" w:rsidR="008B0E2C" w:rsidRDefault="00000000">
            <w:r>
              <w:rPr>
                <w:sz w:val="19"/>
                <w:szCs w:val="19"/>
              </w:rPr>
              <w:t>Varies by code</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05357E8C" w14:textId="77777777" w:rsidR="008B0E2C" w:rsidRDefault="00000000">
            <w:r>
              <w:rPr>
                <w:sz w:val="19"/>
                <w:szCs w:val="19"/>
              </w:rPr>
              <w:t>Medium-High</w:t>
            </w:r>
          </w:p>
        </w:tc>
        <w:tc>
          <w:tcPr>
            <w:tcW w:w="2520" w:type="dxa"/>
            <w:tcBorders>
              <w:top w:val="single" w:sz="2" w:space="0" w:color="E0F5EE"/>
              <w:left w:val="single" w:sz="2" w:space="0" w:color="E0F5EE"/>
              <w:bottom w:val="single" w:sz="2" w:space="0" w:color="E0F5EE"/>
              <w:right w:val="single" w:sz="2" w:space="0" w:color="E0F5EE"/>
            </w:tcBorders>
            <w:shd w:val="clear" w:color="auto" w:fill="E0F5EE"/>
            <w:tcMar>
              <w:top w:w="100" w:type="dxa"/>
              <w:left w:w="160" w:type="dxa"/>
              <w:bottom w:w="100" w:type="dxa"/>
              <w:right w:w="120" w:type="dxa"/>
            </w:tcMar>
          </w:tcPr>
          <w:p w14:paraId="704461AD" w14:textId="77777777" w:rsidR="008B0E2C" w:rsidRDefault="00000000">
            <w:r>
              <w:rPr>
                <w:b/>
                <w:bCs/>
                <w:color w:val="007A58"/>
                <w:sz w:val="19"/>
                <w:szCs w:val="19"/>
              </w:rPr>
              <w:t>★★ Medium Priority</w:t>
            </w:r>
          </w:p>
        </w:tc>
      </w:tr>
      <w:tr w:rsidR="008B0E2C" w14:paraId="0928358F"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3D2463B3" w14:textId="77777777" w:rsidR="008B0E2C" w:rsidRDefault="00000000">
            <w:r>
              <w:rPr>
                <w:b/>
                <w:bCs/>
                <w:color w:val="005580"/>
                <w:sz w:val="19"/>
                <w:szCs w:val="19"/>
              </w:rPr>
              <w:t>First Sale Valuation</w:t>
            </w:r>
          </w:p>
        </w:tc>
        <w:tc>
          <w:tcPr>
            <w:tcW w:w="21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38118EAA" w14:textId="77777777" w:rsidR="008B0E2C" w:rsidRDefault="00000000">
            <w:r>
              <w:rPr>
                <w:sz w:val="19"/>
                <w:szCs w:val="19"/>
              </w:rPr>
              <w:t>10–40% duty reduction</w:t>
            </w:r>
          </w:p>
        </w:tc>
        <w:tc>
          <w:tcPr>
            <w:tcW w:w="216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149AD1EC" w14:textId="77777777" w:rsidR="008B0E2C" w:rsidRDefault="00000000">
            <w:r>
              <w:rPr>
                <w:sz w:val="19"/>
                <w:szCs w:val="19"/>
              </w:rPr>
              <w:t>Medium</w:t>
            </w:r>
          </w:p>
        </w:tc>
        <w:tc>
          <w:tcPr>
            <w:tcW w:w="2520" w:type="dxa"/>
            <w:tcBorders>
              <w:top w:val="single" w:sz="2" w:space="0" w:color="E0F5EE"/>
              <w:left w:val="single" w:sz="2" w:space="0" w:color="E0F5EE"/>
              <w:bottom w:val="single" w:sz="2" w:space="0" w:color="E0F5EE"/>
              <w:right w:val="single" w:sz="2" w:space="0" w:color="E0F5EE"/>
            </w:tcBorders>
            <w:shd w:val="clear" w:color="auto" w:fill="E0F5EE"/>
            <w:tcMar>
              <w:top w:w="100" w:type="dxa"/>
              <w:left w:w="160" w:type="dxa"/>
              <w:bottom w:w="100" w:type="dxa"/>
              <w:right w:w="120" w:type="dxa"/>
            </w:tcMar>
          </w:tcPr>
          <w:p w14:paraId="12740D20" w14:textId="77777777" w:rsidR="008B0E2C" w:rsidRDefault="00000000">
            <w:r>
              <w:rPr>
                <w:b/>
                <w:bCs/>
                <w:color w:val="007A58"/>
                <w:sz w:val="19"/>
                <w:szCs w:val="19"/>
              </w:rPr>
              <w:t>★★ Medium Priority</w:t>
            </w:r>
          </w:p>
        </w:tc>
      </w:tr>
      <w:tr w:rsidR="008B0E2C" w14:paraId="7EE21A54" w14:textId="77777777">
        <w:tblPrEx>
          <w:tblCellMar>
            <w:top w:w="0" w:type="dxa"/>
            <w:bottom w:w="0" w:type="dxa"/>
          </w:tblCellMar>
        </w:tblPrEx>
        <w:tc>
          <w:tcPr>
            <w:tcW w:w="288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669B5383" w14:textId="77777777" w:rsidR="008B0E2C" w:rsidRDefault="00000000">
            <w:r>
              <w:rPr>
                <w:b/>
                <w:bCs/>
                <w:color w:val="005580"/>
                <w:sz w:val="19"/>
                <w:szCs w:val="19"/>
              </w:rPr>
              <w:t>Tariff Engineering</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6FDFBB01" w14:textId="77777777" w:rsidR="008B0E2C" w:rsidRDefault="00000000">
            <w:r>
              <w:rPr>
                <w:sz w:val="19"/>
                <w:szCs w:val="19"/>
              </w:rPr>
              <w:t>Long-term reduction</w:t>
            </w:r>
          </w:p>
        </w:tc>
        <w:tc>
          <w:tcPr>
            <w:tcW w:w="216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7515FD36" w14:textId="77777777" w:rsidR="008B0E2C" w:rsidRDefault="00000000">
            <w:r>
              <w:rPr>
                <w:sz w:val="19"/>
                <w:szCs w:val="19"/>
              </w:rPr>
              <w:t>Very High</w:t>
            </w:r>
          </w:p>
        </w:tc>
        <w:tc>
          <w:tcPr>
            <w:tcW w:w="2520" w:type="dxa"/>
            <w:tcBorders>
              <w:top w:val="single" w:sz="2" w:space="0" w:color="E0F5EE"/>
              <w:left w:val="single" w:sz="2" w:space="0" w:color="E0F5EE"/>
              <w:bottom w:val="single" w:sz="2" w:space="0" w:color="E0F5EE"/>
              <w:right w:val="single" w:sz="2" w:space="0" w:color="E0F5EE"/>
            </w:tcBorders>
            <w:shd w:val="clear" w:color="auto" w:fill="E0F5EE"/>
            <w:tcMar>
              <w:top w:w="100" w:type="dxa"/>
              <w:left w:w="160" w:type="dxa"/>
              <w:bottom w:w="100" w:type="dxa"/>
              <w:right w:w="120" w:type="dxa"/>
            </w:tcMar>
          </w:tcPr>
          <w:p w14:paraId="679FF760" w14:textId="77777777" w:rsidR="008B0E2C" w:rsidRDefault="00000000">
            <w:r>
              <w:rPr>
                <w:b/>
                <w:bCs/>
                <w:color w:val="007A58"/>
                <w:sz w:val="19"/>
                <w:szCs w:val="19"/>
              </w:rPr>
              <w:t>★ Evaluate Case-by-Case</w:t>
            </w:r>
          </w:p>
        </w:tc>
      </w:tr>
    </w:tbl>
    <w:p w14:paraId="4318FD67" w14:textId="77777777" w:rsidR="008B0E2C" w:rsidRDefault="008B0E2C">
      <w:pPr>
        <w:spacing w:after="80"/>
      </w:pPr>
    </w:p>
    <w:p w14:paraId="30BE400C" w14:textId="77777777" w:rsidR="008B0E2C" w:rsidRDefault="00000000">
      <w:pPr>
        <w:spacing w:before="200" w:after="80"/>
      </w:pPr>
      <w:proofErr w:type="gramStart"/>
      <w:r>
        <w:rPr>
          <w:b/>
          <w:bCs/>
          <w:color w:val="00A878"/>
          <w:sz w:val="20"/>
          <w:szCs w:val="20"/>
        </w:rPr>
        <w:t xml:space="preserve">►  </w:t>
      </w:r>
      <w:r>
        <w:rPr>
          <w:b/>
          <w:bCs/>
          <w:color w:val="1A4A6B"/>
        </w:rPr>
        <w:t>CFO</w:t>
      </w:r>
      <w:proofErr w:type="gramEnd"/>
      <w:r>
        <w:rPr>
          <w:b/>
          <w:bCs/>
          <w:color w:val="1A4A6B"/>
        </w:rPr>
        <w:t xml:space="preserve"> Action Items — Customs Counsel:</w:t>
      </w:r>
    </w:p>
    <w:p w14:paraId="0DABC7DB" w14:textId="77777777" w:rsidR="008B0E2C" w:rsidRDefault="00000000">
      <w:pPr>
        <w:pStyle w:val="ListParagraph"/>
        <w:numPr>
          <w:ilvl w:val="0"/>
          <w:numId w:val="2"/>
        </w:numPr>
        <w:spacing w:before="60" w:after="60" w:line="272" w:lineRule="auto"/>
      </w:pPr>
      <w:r>
        <w:rPr>
          <w:sz w:val="21"/>
          <w:szCs w:val="21"/>
        </w:rPr>
        <w:t>Issue an RFP to 2–3 customs law firms; evaluate on Section 301 exclusion experience specifically</w:t>
      </w:r>
    </w:p>
    <w:p w14:paraId="121ED894" w14:textId="77777777" w:rsidR="008B0E2C" w:rsidRDefault="00000000">
      <w:pPr>
        <w:pStyle w:val="ListParagraph"/>
        <w:numPr>
          <w:ilvl w:val="0"/>
          <w:numId w:val="2"/>
        </w:numPr>
        <w:spacing w:before="60" w:after="60" w:line="272" w:lineRule="auto"/>
      </w:pPr>
      <w:r>
        <w:rPr>
          <w:sz w:val="21"/>
          <w:szCs w:val="21"/>
        </w:rPr>
        <w:t>Negotiate a contingency or hybrid fee structure — many qualified firms will take cases on a percentage of recovery</w:t>
      </w:r>
    </w:p>
    <w:p w14:paraId="44676C33" w14:textId="77777777" w:rsidR="008B0E2C" w:rsidRDefault="00000000">
      <w:pPr>
        <w:pStyle w:val="ListParagraph"/>
        <w:numPr>
          <w:ilvl w:val="0"/>
          <w:numId w:val="2"/>
        </w:numPr>
        <w:spacing w:before="60" w:after="60" w:line="272" w:lineRule="auto"/>
      </w:pPr>
      <w:r>
        <w:rPr>
          <w:sz w:val="21"/>
          <w:szCs w:val="21"/>
        </w:rPr>
        <w:t>Ensure counsel has active CBP electronic filing credentials and your Power of Attorney</w:t>
      </w:r>
    </w:p>
    <w:p w14:paraId="4EAEB07A" w14:textId="77777777" w:rsidR="008B0E2C" w:rsidRDefault="00000000">
      <w:pPr>
        <w:pStyle w:val="ListParagraph"/>
        <w:numPr>
          <w:ilvl w:val="0"/>
          <w:numId w:val="2"/>
        </w:numPr>
        <w:spacing w:before="60" w:after="60" w:line="272" w:lineRule="auto"/>
      </w:pPr>
      <w:r>
        <w:rPr>
          <w:sz w:val="21"/>
          <w:szCs w:val="21"/>
        </w:rPr>
        <w:t>Request a preliminary refund exposure estimate before committing to a full engagement</w:t>
      </w:r>
    </w:p>
    <w:p w14:paraId="1EB50AE5" w14:textId="77777777" w:rsidR="008B0E2C" w:rsidRDefault="008B0E2C">
      <w:pPr>
        <w:spacing w:after="80"/>
      </w:pPr>
    </w:p>
    <w:p w14:paraId="226FAD1D" w14:textId="77777777" w:rsidR="008B0E2C" w:rsidRDefault="00000000">
      <w:pPr>
        <w:spacing w:before="200" w:after="80"/>
      </w:pPr>
      <w:proofErr w:type="gramStart"/>
      <w:r>
        <w:rPr>
          <w:b/>
          <w:bCs/>
          <w:color w:val="00A878"/>
          <w:sz w:val="20"/>
          <w:szCs w:val="20"/>
        </w:rPr>
        <w:t xml:space="preserve">►  </w:t>
      </w:r>
      <w:r>
        <w:rPr>
          <w:b/>
          <w:bCs/>
          <w:color w:val="1A4A6B"/>
        </w:rPr>
        <w:t>CFO</w:t>
      </w:r>
      <w:proofErr w:type="gramEnd"/>
      <w:r>
        <w:rPr>
          <w:b/>
          <w:bCs/>
          <w:color w:val="1A4A6B"/>
        </w:rPr>
        <w:t xml:space="preserve"> Action Items — Ongoing Controls:</w:t>
      </w:r>
    </w:p>
    <w:p w14:paraId="3150F4AC" w14:textId="77777777" w:rsidR="008B0E2C" w:rsidRDefault="00000000">
      <w:pPr>
        <w:pStyle w:val="ListParagraph"/>
        <w:numPr>
          <w:ilvl w:val="0"/>
          <w:numId w:val="2"/>
        </w:numPr>
        <w:spacing w:before="60" w:after="60" w:line="272" w:lineRule="auto"/>
      </w:pPr>
      <w:r>
        <w:rPr>
          <w:sz w:val="21"/>
          <w:szCs w:val="21"/>
        </w:rPr>
        <w:t>Build a Tariff Line Item in your Chart of Accounts to track duty spend separately from COGS</w:t>
      </w:r>
    </w:p>
    <w:p w14:paraId="09C73ABC" w14:textId="77777777" w:rsidR="008B0E2C" w:rsidRDefault="00000000">
      <w:pPr>
        <w:pStyle w:val="ListParagraph"/>
        <w:numPr>
          <w:ilvl w:val="0"/>
          <w:numId w:val="2"/>
        </w:numPr>
        <w:spacing w:before="60" w:after="60" w:line="272" w:lineRule="auto"/>
      </w:pPr>
      <w:r>
        <w:rPr>
          <w:sz w:val="21"/>
          <w:szCs w:val="21"/>
        </w:rPr>
        <w:t>Implement monthly reporting on duty rates by supplier and SKU</w:t>
      </w:r>
    </w:p>
    <w:p w14:paraId="3B250661" w14:textId="77777777" w:rsidR="008B0E2C" w:rsidRDefault="00000000">
      <w:pPr>
        <w:pStyle w:val="ListParagraph"/>
        <w:numPr>
          <w:ilvl w:val="0"/>
          <w:numId w:val="2"/>
        </w:numPr>
        <w:spacing w:before="60" w:after="60" w:line="272" w:lineRule="auto"/>
      </w:pPr>
      <w:r>
        <w:rPr>
          <w:sz w:val="21"/>
          <w:szCs w:val="21"/>
        </w:rPr>
        <w:t>Create an HTS Code Review Calendar — trigger reviews whenever new tariff actions are announced</w:t>
      </w:r>
    </w:p>
    <w:p w14:paraId="1672870A" w14:textId="77777777" w:rsidR="008B0E2C" w:rsidRDefault="00000000">
      <w:pPr>
        <w:pStyle w:val="ListParagraph"/>
        <w:numPr>
          <w:ilvl w:val="0"/>
          <w:numId w:val="2"/>
        </w:numPr>
        <w:spacing w:before="60" w:after="60" w:line="272" w:lineRule="auto"/>
      </w:pPr>
      <w:r>
        <w:rPr>
          <w:sz w:val="21"/>
          <w:szCs w:val="21"/>
        </w:rPr>
        <w:t>Establish a Customs Compliance Calendar to track exclusion renewal deadlines and drawback filing windows</w:t>
      </w:r>
    </w:p>
    <w:p w14:paraId="42B34F44" w14:textId="77777777" w:rsidR="008B0E2C" w:rsidRDefault="008B0E2C">
      <w:pPr>
        <w:spacing w:after="160"/>
      </w:pPr>
    </w:p>
    <w:p w14:paraId="73F4CC3A"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208B1095"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114BB5D3" w14:textId="77777777" w:rsidR="008B0E2C" w:rsidRDefault="00000000">
            <w:r>
              <w:rPr>
                <w:b/>
                <w:bCs/>
                <w:color w:val="00A878"/>
                <w:spacing w:val="300"/>
                <w:sz w:val="18"/>
                <w:szCs w:val="18"/>
              </w:rPr>
              <w:t>SECTION 4</w:t>
            </w:r>
            <w:r>
              <w:rPr>
                <w:color w:val="0099CC"/>
                <w:sz w:val="28"/>
                <w:szCs w:val="28"/>
              </w:rPr>
              <w:t xml:space="preserve">   —   </w:t>
            </w:r>
            <w:r>
              <w:rPr>
                <w:b/>
                <w:bCs/>
                <w:color w:val="FFFFFF"/>
                <w:sz w:val="40"/>
                <w:szCs w:val="40"/>
              </w:rPr>
              <w:t>The Tax Strategist's Role</w:t>
            </w:r>
          </w:p>
        </w:tc>
      </w:tr>
      <w:tr w:rsidR="008B0E2C" w14:paraId="556ADE80"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1207EF0F" w14:textId="77777777" w:rsidR="008B0E2C" w:rsidRDefault="00000000">
            <w:r>
              <w:rPr>
                <w:i/>
                <w:iCs/>
                <w:color w:val="E0F4FB"/>
              </w:rPr>
              <w:t>Critical tax dimensions that CFOs often overlook</w:t>
            </w:r>
          </w:p>
        </w:tc>
      </w:tr>
    </w:tbl>
    <w:p w14:paraId="7FE6BC59" w14:textId="77777777" w:rsidR="008B0E2C" w:rsidRDefault="008B0E2C">
      <w:pPr>
        <w:spacing w:after="80"/>
      </w:pPr>
    </w:p>
    <w:p w14:paraId="51D49918" w14:textId="77777777" w:rsidR="008B0E2C" w:rsidRDefault="00000000">
      <w:pPr>
        <w:spacing w:before="80" w:after="120" w:line="290" w:lineRule="auto"/>
      </w:pPr>
      <w:r>
        <w:rPr>
          <w:i/>
          <w:iCs/>
          <w:color w:val="1A4A6B"/>
          <w:sz w:val="24"/>
          <w:szCs w:val="24"/>
        </w:rPr>
        <w:t>While the CFO manages the financial architecture, the Tax Strategist plays a critical and often underutilized role. Tariff refunds have direct tax implications that can materially affect net recovery.</w:t>
      </w:r>
    </w:p>
    <w:p w14:paraId="640203CF" w14:textId="77777777" w:rsidR="008B0E2C" w:rsidRDefault="008B0E2C">
      <w:pPr>
        <w:spacing w:after="80"/>
      </w:pPr>
    </w:p>
    <w:tbl>
      <w:tblPr>
        <w:tblW w:w="972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0"/>
        <w:gridCol w:w="440"/>
        <w:gridCol w:w="4640"/>
      </w:tblGrid>
      <w:tr w:rsidR="008B0E2C" w14:paraId="6D676D7C"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3C591117" w14:textId="77777777" w:rsidR="008B0E2C" w:rsidRDefault="00000000">
            <w:pPr>
              <w:spacing w:after="80"/>
            </w:pPr>
            <w:proofErr w:type="gramStart"/>
            <w:r>
              <w:rPr>
                <w:color w:val="0077A8"/>
                <w:sz w:val="26"/>
                <w:szCs w:val="26"/>
              </w:rPr>
              <w:t xml:space="preserve">1  </w:t>
            </w:r>
            <w:r>
              <w:rPr>
                <w:b/>
                <w:bCs/>
                <w:color w:val="005580"/>
              </w:rPr>
              <w:t>Tax</w:t>
            </w:r>
            <w:proofErr w:type="gramEnd"/>
            <w:r>
              <w:rPr>
                <w:b/>
                <w:bCs/>
                <w:color w:val="005580"/>
              </w:rPr>
              <w:t xml:space="preserve"> Treatment of Refunds</w:t>
            </w:r>
          </w:p>
          <w:p w14:paraId="3FF1609E" w14:textId="77777777" w:rsidR="008B0E2C" w:rsidRDefault="00000000">
            <w:pPr>
              <w:spacing w:line="268" w:lineRule="auto"/>
            </w:pPr>
            <w:r>
              <w:rPr>
                <w:sz w:val="20"/>
                <w:szCs w:val="20"/>
              </w:rPr>
              <w:t>Refunds received are generally taxable income in the year received unless previously deducted as COGS. Model the net after-tax value before filing any claim to avoid costly surprises.</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A146F42"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6CFCF2FE" w14:textId="77777777" w:rsidR="008B0E2C" w:rsidRDefault="00000000">
            <w:pPr>
              <w:spacing w:after="80"/>
            </w:pPr>
            <w:proofErr w:type="gramStart"/>
            <w:r>
              <w:rPr>
                <w:color w:val="00A878"/>
                <w:sz w:val="26"/>
                <w:szCs w:val="26"/>
              </w:rPr>
              <w:t xml:space="preserve">2  </w:t>
            </w:r>
            <w:r>
              <w:rPr>
                <w:b/>
                <w:bCs/>
                <w:color w:val="007A58"/>
              </w:rPr>
              <w:t>Transfer</w:t>
            </w:r>
            <w:proofErr w:type="gramEnd"/>
            <w:r>
              <w:rPr>
                <w:b/>
                <w:bCs/>
                <w:color w:val="007A58"/>
              </w:rPr>
              <w:t xml:space="preserve"> Pricing Implications</w:t>
            </w:r>
          </w:p>
          <w:p w14:paraId="3F02E712" w14:textId="77777777" w:rsidR="008B0E2C" w:rsidRDefault="00000000">
            <w:pPr>
              <w:spacing w:line="268" w:lineRule="auto"/>
            </w:pPr>
            <w:r>
              <w:rPr>
                <w:sz w:val="20"/>
                <w:szCs w:val="20"/>
              </w:rPr>
              <w:t>For companies sourcing from related-party suppliers, refunds can trigger IRS scrutiny if they change the intercompany economics of original transactions.</w:t>
            </w:r>
          </w:p>
        </w:tc>
      </w:tr>
      <w:tr w:rsidR="008B0E2C" w14:paraId="39444B78" w14:textId="77777777">
        <w:tblPrEx>
          <w:tblCellMar>
            <w:top w:w="0" w:type="dxa"/>
            <w:bottom w:w="0" w:type="dxa"/>
          </w:tblCellMar>
        </w:tblPrEx>
        <w:tc>
          <w:tcPr>
            <w:tcW w:w="9720" w:type="dxa"/>
            <w:gridSpan w:val="3"/>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3E026FB" w14:textId="77777777" w:rsidR="008B0E2C" w:rsidRDefault="008B0E2C"/>
        </w:tc>
      </w:tr>
      <w:tr w:rsidR="008B0E2C" w14:paraId="38A9331E"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0C0FFDBC" w14:textId="77777777" w:rsidR="008B0E2C" w:rsidRDefault="00000000">
            <w:pPr>
              <w:spacing w:after="80"/>
            </w:pPr>
            <w:proofErr w:type="gramStart"/>
            <w:r>
              <w:rPr>
                <w:color w:val="0077A8"/>
                <w:sz w:val="26"/>
                <w:szCs w:val="26"/>
              </w:rPr>
              <w:t xml:space="preserve">3  </w:t>
            </w:r>
            <w:r>
              <w:rPr>
                <w:b/>
                <w:bCs/>
                <w:color w:val="005580"/>
              </w:rPr>
              <w:t>R</w:t>
            </w:r>
            <w:proofErr w:type="gramEnd"/>
            <w:r>
              <w:rPr>
                <w:b/>
                <w:bCs/>
                <w:color w:val="005580"/>
              </w:rPr>
              <w:t>&amp;D and Supply Chain Credits</w:t>
            </w:r>
          </w:p>
          <w:p w14:paraId="5C85BF2E" w14:textId="77777777" w:rsidR="008B0E2C" w:rsidRDefault="00000000">
            <w:pPr>
              <w:spacing w:line="268" w:lineRule="auto"/>
            </w:pPr>
            <w:r>
              <w:rPr>
                <w:sz w:val="20"/>
                <w:szCs w:val="20"/>
              </w:rPr>
              <w:t>Supply chain redesign activities to mitigate tariffs — nearshoring, reformulating, changing country of origin — may qualify for Section 41 R&amp;D tax credits.</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2043629"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469E6C54" w14:textId="77777777" w:rsidR="008B0E2C" w:rsidRDefault="00000000">
            <w:pPr>
              <w:spacing w:after="80"/>
            </w:pPr>
            <w:proofErr w:type="gramStart"/>
            <w:r>
              <w:rPr>
                <w:color w:val="00A878"/>
                <w:sz w:val="26"/>
                <w:szCs w:val="26"/>
              </w:rPr>
              <w:t xml:space="preserve">4  </w:t>
            </w:r>
            <w:r>
              <w:rPr>
                <w:b/>
                <w:bCs/>
                <w:color w:val="007A58"/>
              </w:rPr>
              <w:t>Amended</w:t>
            </w:r>
            <w:proofErr w:type="gramEnd"/>
            <w:r>
              <w:rPr>
                <w:b/>
                <w:bCs/>
                <w:color w:val="007A58"/>
              </w:rPr>
              <w:t xml:space="preserve"> Returns &amp; Statutes</w:t>
            </w:r>
          </w:p>
          <w:p w14:paraId="46AEBD83" w14:textId="77777777" w:rsidR="008B0E2C" w:rsidRDefault="00000000">
            <w:pPr>
              <w:spacing w:line="268" w:lineRule="auto"/>
            </w:pPr>
            <w:r>
              <w:rPr>
                <w:sz w:val="20"/>
                <w:szCs w:val="20"/>
              </w:rPr>
              <w:t>COGS adjustments from tariff refunds may require amended returns. The 3-year income tax statute intersects critically with the 5-year drawback window.</w:t>
            </w:r>
          </w:p>
        </w:tc>
      </w:tr>
    </w:tbl>
    <w:p w14:paraId="4E1AC849"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320"/>
      </w:tblGrid>
      <w:tr w:rsidR="008B0E2C" w14:paraId="27C2B081"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FF6B6B"/>
            <w:tcMar>
              <w:top w:w="0" w:type="dxa"/>
              <w:left w:w="0" w:type="dxa"/>
              <w:bottom w:w="0" w:type="dxa"/>
              <w:right w:w="0" w:type="dxa"/>
            </w:tcMar>
          </w:tcPr>
          <w:p w14:paraId="74826FCF" w14:textId="77777777" w:rsidR="008B0E2C" w:rsidRDefault="00000000">
            <w:pPr>
              <w:spacing w:before="160"/>
              <w:jc w:val="center"/>
            </w:pPr>
            <w:r>
              <w:rPr>
                <w:color w:val="FFFFFF"/>
                <w:sz w:val="28"/>
                <w:szCs w:val="28"/>
              </w:rPr>
              <w:t>⚠</w:t>
            </w:r>
          </w:p>
        </w:tc>
        <w:tc>
          <w:tcPr>
            <w:tcW w:w="9320" w:type="dxa"/>
            <w:tcBorders>
              <w:top w:val="none" w:sz="0" w:space="0" w:color="FFFFFF"/>
              <w:left w:val="none" w:sz="0" w:space="0" w:color="FFFFFF"/>
              <w:bottom w:val="none" w:sz="0" w:space="0" w:color="FFFFFF"/>
              <w:right w:val="none" w:sz="0" w:space="0" w:color="FFFFFF"/>
            </w:tcBorders>
            <w:shd w:val="clear" w:color="auto" w:fill="FFF0F0"/>
            <w:tcMar>
              <w:top w:w="160" w:type="dxa"/>
              <w:left w:w="260" w:type="dxa"/>
              <w:bottom w:w="160" w:type="dxa"/>
              <w:right w:w="220" w:type="dxa"/>
            </w:tcMar>
          </w:tcPr>
          <w:p w14:paraId="4B08497E" w14:textId="77777777" w:rsidR="008B0E2C" w:rsidRDefault="00000000">
            <w:pPr>
              <w:spacing w:after="60"/>
            </w:pPr>
            <w:r>
              <w:rPr>
                <w:b/>
                <w:bCs/>
                <w:color w:val="FF6B6B"/>
              </w:rPr>
              <w:t>Action Required Before Filing</w:t>
            </w:r>
          </w:p>
          <w:p w14:paraId="17F832D4" w14:textId="77777777" w:rsidR="008B0E2C" w:rsidRDefault="00000000">
            <w:pPr>
              <w:spacing w:line="270" w:lineRule="auto"/>
            </w:pPr>
            <w:r>
              <w:rPr>
                <w:sz w:val="21"/>
                <w:szCs w:val="21"/>
              </w:rPr>
              <w:t>Before filing any refund claim, your Tax Strategist should conduct a tax impact analysis to model the net after-tax value across multiple scenarios. Pursuing a $2M gross refund that triggers a $700K tax bill is a fundamentally different decision than one with minimal incremental tax impact.</w:t>
            </w:r>
          </w:p>
        </w:tc>
      </w:tr>
    </w:tbl>
    <w:p w14:paraId="72FA1542"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6A856DFA"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7F0E815B" w14:textId="77777777" w:rsidR="008B0E2C" w:rsidRDefault="00000000">
            <w:r>
              <w:rPr>
                <w:b/>
                <w:bCs/>
                <w:color w:val="005580"/>
                <w:sz w:val="30"/>
                <w:szCs w:val="30"/>
              </w:rPr>
              <w:t>Tax Strategist Action Items</w:t>
            </w:r>
          </w:p>
        </w:tc>
      </w:tr>
    </w:tbl>
    <w:p w14:paraId="1BD8FBA5" w14:textId="77777777" w:rsidR="008B0E2C" w:rsidRDefault="008B0E2C">
      <w:pPr>
        <w:spacing w:after="40"/>
      </w:pPr>
    </w:p>
    <w:p w14:paraId="6E3AAB07" w14:textId="77777777" w:rsidR="008B0E2C" w:rsidRDefault="00000000">
      <w:pPr>
        <w:spacing w:before="200" w:after="80"/>
      </w:pPr>
      <w:proofErr w:type="gramStart"/>
      <w:r>
        <w:rPr>
          <w:b/>
          <w:bCs/>
          <w:color w:val="00A878"/>
          <w:sz w:val="20"/>
          <w:szCs w:val="20"/>
        </w:rPr>
        <w:t xml:space="preserve">►  </w:t>
      </w:r>
      <w:r>
        <w:rPr>
          <w:b/>
          <w:bCs/>
          <w:color w:val="1A4A6B"/>
        </w:rPr>
        <w:t>On</w:t>
      </w:r>
      <w:proofErr w:type="gramEnd"/>
      <w:r>
        <w:rPr>
          <w:b/>
          <w:bCs/>
          <w:color w:val="1A4A6B"/>
        </w:rPr>
        <w:t xml:space="preserve"> Tax Treatment:</w:t>
      </w:r>
    </w:p>
    <w:p w14:paraId="5BC00D53" w14:textId="77777777" w:rsidR="008B0E2C" w:rsidRDefault="00000000">
      <w:pPr>
        <w:pStyle w:val="ListParagraph"/>
        <w:numPr>
          <w:ilvl w:val="0"/>
          <w:numId w:val="2"/>
        </w:numPr>
        <w:spacing w:before="60" w:after="60" w:line="272" w:lineRule="auto"/>
      </w:pPr>
      <w:r>
        <w:rPr>
          <w:sz w:val="21"/>
          <w:szCs w:val="21"/>
        </w:rPr>
        <w:t>Determine whether tariffs were expensed as COGS or capitalized into inventory — this drives refund tax treatment</w:t>
      </w:r>
    </w:p>
    <w:p w14:paraId="71CC04A3" w14:textId="77777777" w:rsidR="008B0E2C" w:rsidRDefault="00000000">
      <w:pPr>
        <w:pStyle w:val="ListParagraph"/>
        <w:numPr>
          <w:ilvl w:val="0"/>
          <w:numId w:val="2"/>
        </w:numPr>
        <w:spacing w:before="60" w:after="60" w:line="272" w:lineRule="auto"/>
      </w:pPr>
      <w:r>
        <w:rPr>
          <w:sz w:val="21"/>
          <w:szCs w:val="21"/>
        </w:rPr>
        <w:t>Assess state and local tax implications, which vary by jurisdiction</w:t>
      </w:r>
    </w:p>
    <w:p w14:paraId="3ADAD91A" w14:textId="77777777" w:rsidR="008B0E2C" w:rsidRDefault="00000000">
      <w:pPr>
        <w:pStyle w:val="ListParagraph"/>
        <w:numPr>
          <w:ilvl w:val="0"/>
          <w:numId w:val="2"/>
        </w:numPr>
        <w:spacing w:before="60" w:after="60" w:line="272" w:lineRule="auto"/>
      </w:pPr>
      <w:r>
        <w:rPr>
          <w:sz w:val="21"/>
          <w:szCs w:val="21"/>
        </w:rPr>
        <w:t>Model the net after-tax refund value before committing to a filing strategy</w:t>
      </w:r>
    </w:p>
    <w:p w14:paraId="78C785E5" w14:textId="77777777" w:rsidR="008B0E2C" w:rsidRDefault="008B0E2C">
      <w:pPr>
        <w:spacing w:after="80"/>
      </w:pPr>
    </w:p>
    <w:p w14:paraId="19689F06" w14:textId="77777777" w:rsidR="008B0E2C" w:rsidRDefault="00000000">
      <w:pPr>
        <w:spacing w:before="200" w:after="80"/>
      </w:pPr>
      <w:proofErr w:type="gramStart"/>
      <w:r>
        <w:rPr>
          <w:b/>
          <w:bCs/>
          <w:color w:val="00A878"/>
          <w:sz w:val="20"/>
          <w:szCs w:val="20"/>
        </w:rPr>
        <w:t xml:space="preserve">►  </w:t>
      </w:r>
      <w:r>
        <w:rPr>
          <w:b/>
          <w:bCs/>
          <w:color w:val="1A4A6B"/>
        </w:rPr>
        <w:t>On</w:t>
      </w:r>
      <w:proofErr w:type="gramEnd"/>
      <w:r>
        <w:rPr>
          <w:b/>
          <w:bCs/>
          <w:color w:val="1A4A6B"/>
        </w:rPr>
        <w:t xml:space="preserve"> Transfer Pricing:</w:t>
      </w:r>
    </w:p>
    <w:p w14:paraId="5DA9742E" w14:textId="77777777" w:rsidR="008B0E2C" w:rsidRDefault="00000000">
      <w:pPr>
        <w:pStyle w:val="ListParagraph"/>
        <w:numPr>
          <w:ilvl w:val="0"/>
          <w:numId w:val="2"/>
        </w:numPr>
        <w:spacing w:before="60" w:after="60" w:line="272" w:lineRule="auto"/>
      </w:pPr>
      <w:r>
        <w:rPr>
          <w:sz w:val="21"/>
          <w:szCs w:val="21"/>
        </w:rPr>
        <w:t>Review intercompany agreements to determine how tariff costs are allocated between entities</w:t>
      </w:r>
    </w:p>
    <w:p w14:paraId="48DB0218" w14:textId="77777777" w:rsidR="008B0E2C" w:rsidRDefault="00000000">
      <w:pPr>
        <w:pStyle w:val="ListParagraph"/>
        <w:numPr>
          <w:ilvl w:val="0"/>
          <w:numId w:val="2"/>
        </w:numPr>
        <w:spacing w:before="60" w:after="60" w:line="272" w:lineRule="auto"/>
      </w:pPr>
      <w:r>
        <w:rPr>
          <w:sz w:val="21"/>
          <w:szCs w:val="21"/>
        </w:rPr>
        <w:t>Assess whether transfer pricing documentation accounts for tariff variability</w:t>
      </w:r>
    </w:p>
    <w:p w14:paraId="14EC3674" w14:textId="77777777" w:rsidR="008B0E2C" w:rsidRDefault="00000000">
      <w:pPr>
        <w:pStyle w:val="ListParagraph"/>
        <w:numPr>
          <w:ilvl w:val="0"/>
          <w:numId w:val="2"/>
        </w:numPr>
        <w:spacing w:before="60" w:after="60" w:line="272" w:lineRule="auto"/>
      </w:pPr>
      <w:r>
        <w:rPr>
          <w:sz w:val="21"/>
          <w:szCs w:val="21"/>
        </w:rPr>
        <w:t>Model whether a tariff refund changes the arm’s-length pricing analysis for relevant transaction years</w:t>
      </w:r>
    </w:p>
    <w:p w14:paraId="44F1AA8D" w14:textId="77777777" w:rsidR="008B0E2C" w:rsidRDefault="00000000">
      <w:pPr>
        <w:pStyle w:val="ListParagraph"/>
        <w:numPr>
          <w:ilvl w:val="0"/>
          <w:numId w:val="2"/>
        </w:numPr>
        <w:spacing w:before="60" w:after="60" w:line="272" w:lineRule="auto"/>
      </w:pPr>
      <w:r>
        <w:rPr>
          <w:sz w:val="21"/>
          <w:szCs w:val="21"/>
        </w:rPr>
        <w:t>Coordinate with your customs attorney to minimize transfer pricing exposure in claim structuring</w:t>
      </w:r>
    </w:p>
    <w:p w14:paraId="0628B5B9" w14:textId="77777777" w:rsidR="008B0E2C" w:rsidRDefault="008B0E2C">
      <w:pPr>
        <w:spacing w:after="80"/>
      </w:pPr>
    </w:p>
    <w:p w14:paraId="62D02D28" w14:textId="77777777" w:rsidR="008B0E2C" w:rsidRDefault="00000000">
      <w:pPr>
        <w:spacing w:before="200" w:after="80"/>
      </w:pPr>
      <w:proofErr w:type="gramStart"/>
      <w:r>
        <w:rPr>
          <w:b/>
          <w:bCs/>
          <w:color w:val="00A878"/>
          <w:sz w:val="20"/>
          <w:szCs w:val="20"/>
        </w:rPr>
        <w:t xml:space="preserve">►  </w:t>
      </w:r>
      <w:r>
        <w:rPr>
          <w:b/>
          <w:bCs/>
          <w:color w:val="1A4A6B"/>
        </w:rPr>
        <w:t>On</w:t>
      </w:r>
      <w:proofErr w:type="gramEnd"/>
      <w:r>
        <w:rPr>
          <w:b/>
          <w:bCs/>
          <w:color w:val="1A4A6B"/>
        </w:rPr>
        <w:t xml:space="preserve"> R&amp;D Credits &amp; Amended Returns:</w:t>
      </w:r>
    </w:p>
    <w:p w14:paraId="67614526" w14:textId="77777777" w:rsidR="008B0E2C" w:rsidRDefault="00000000">
      <w:pPr>
        <w:pStyle w:val="ListParagraph"/>
        <w:numPr>
          <w:ilvl w:val="0"/>
          <w:numId w:val="2"/>
        </w:numPr>
        <w:spacing w:before="60" w:after="60" w:line="272" w:lineRule="auto"/>
      </w:pPr>
      <w:r>
        <w:rPr>
          <w:sz w:val="21"/>
          <w:szCs w:val="21"/>
        </w:rPr>
        <w:t>Evaluate whether supply chain engineering activities qualify for Section 41 R&amp;D credits</w:t>
      </w:r>
    </w:p>
    <w:p w14:paraId="19A6B90B" w14:textId="77777777" w:rsidR="008B0E2C" w:rsidRDefault="00000000">
      <w:pPr>
        <w:pStyle w:val="ListParagraph"/>
        <w:numPr>
          <w:ilvl w:val="0"/>
          <w:numId w:val="2"/>
        </w:numPr>
        <w:spacing w:before="60" w:after="60" w:line="272" w:lineRule="auto"/>
      </w:pPr>
      <w:r>
        <w:rPr>
          <w:sz w:val="21"/>
          <w:szCs w:val="21"/>
        </w:rPr>
        <w:t>Review whether tariff-driven reformulation (changing an ingredient to a lower-duty HTS code) constitutes qualified research</w:t>
      </w:r>
    </w:p>
    <w:p w14:paraId="2C15A69A" w14:textId="77777777" w:rsidR="008B0E2C" w:rsidRDefault="00000000">
      <w:pPr>
        <w:pStyle w:val="ListParagraph"/>
        <w:numPr>
          <w:ilvl w:val="0"/>
          <w:numId w:val="2"/>
        </w:numPr>
        <w:spacing w:before="60" w:after="60" w:line="272" w:lineRule="auto"/>
      </w:pPr>
      <w:r>
        <w:rPr>
          <w:sz w:val="21"/>
          <w:szCs w:val="21"/>
        </w:rPr>
        <w:t>Analyze whether COGS adjustments require amended returns for prior years</w:t>
      </w:r>
    </w:p>
    <w:p w14:paraId="55A51FFC" w14:textId="77777777" w:rsidR="008B0E2C" w:rsidRDefault="00000000">
      <w:pPr>
        <w:pStyle w:val="ListParagraph"/>
        <w:numPr>
          <w:ilvl w:val="0"/>
          <w:numId w:val="2"/>
        </w:numPr>
        <w:spacing w:before="60" w:after="60" w:line="272" w:lineRule="auto"/>
      </w:pPr>
      <w:r>
        <w:rPr>
          <w:sz w:val="21"/>
          <w:szCs w:val="21"/>
        </w:rPr>
        <w:t>Review the interplay between the 3-year income tax statute and the 5-year drawback window</w:t>
      </w:r>
    </w:p>
    <w:p w14:paraId="3AC8EFAC"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320"/>
      </w:tblGrid>
      <w:tr w:rsidR="008B0E2C" w14:paraId="3EA6F3CC"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00A878"/>
            <w:tcMar>
              <w:top w:w="0" w:type="dxa"/>
              <w:left w:w="0" w:type="dxa"/>
              <w:bottom w:w="0" w:type="dxa"/>
              <w:right w:w="0" w:type="dxa"/>
            </w:tcMar>
          </w:tcPr>
          <w:p w14:paraId="499F6D41" w14:textId="77777777" w:rsidR="008B0E2C" w:rsidRDefault="00000000">
            <w:pPr>
              <w:spacing w:before="160"/>
              <w:jc w:val="center"/>
            </w:pPr>
            <w:r>
              <w:rPr>
                <w:color w:val="FFFFFF"/>
                <w:sz w:val="28"/>
                <w:szCs w:val="28"/>
              </w:rPr>
              <w:t>★</w:t>
            </w:r>
          </w:p>
        </w:tc>
        <w:tc>
          <w:tcPr>
            <w:tcW w:w="9320" w:type="dxa"/>
            <w:tcBorders>
              <w:top w:val="none" w:sz="0" w:space="0" w:color="FFFFFF"/>
              <w:left w:val="none" w:sz="0" w:space="0" w:color="FFFFFF"/>
              <w:bottom w:val="none" w:sz="0" w:space="0" w:color="FFFFFF"/>
              <w:right w:val="none" w:sz="0" w:space="0" w:color="FFFFFF"/>
            </w:tcBorders>
            <w:shd w:val="clear" w:color="auto" w:fill="E0F5EE"/>
            <w:tcMar>
              <w:top w:w="160" w:type="dxa"/>
              <w:left w:w="260" w:type="dxa"/>
              <w:bottom w:w="160" w:type="dxa"/>
              <w:right w:w="220" w:type="dxa"/>
            </w:tcMar>
          </w:tcPr>
          <w:p w14:paraId="042F334E" w14:textId="77777777" w:rsidR="008B0E2C" w:rsidRDefault="00000000">
            <w:pPr>
              <w:spacing w:after="60"/>
            </w:pPr>
            <w:r>
              <w:rPr>
                <w:b/>
                <w:bCs/>
                <w:color w:val="007A58"/>
              </w:rPr>
              <w:t>BELAY Advantage</w:t>
            </w:r>
          </w:p>
          <w:p w14:paraId="21CFDEE6" w14:textId="77777777" w:rsidR="008B0E2C" w:rsidRDefault="00000000">
            <w:pPr>
              <w:spacing w:line="270" w:lineRule="auto"/>
            </w:pPr>
            <w:r>
              <w:rPr>
                <w:sz w:val="21"/>
                <w:szCs w:val="21"/>
              </w:rPr>
              <w:t xml:space="preserve">BELAY’s fractional tax strategists and senior accounting professionals work alongside your CFO to ensure the tax and financial reporting dimensions of a tariff refund effort are handled with the same rigor as the customs filing itself. We coordinate directly with your tax counsel and customs </w:t>
            </w:r>
            <w:proofErr w:type="gramStart"/>
            <w:r>
              <w:rPr>
                <w:sz w:val="21"/>
                <w:szCs w:val="21"/>
              </w:rPr>
              <w:t>attorney</w:t>
            </w:r>
            <w:proofErr w:type="gramEnd"/>
            <w:r>
              <w:rPr>
                <w:sz w:val="21"/>
                <w:szCs w:val="21"/>
              </w:rPr>
              <w:t xml:space="preserve"> so nothing falls through the cracks.</w:t>
            </w:r>
          </w:p>
        </w:tc>
      </w:tr>
    </w:tbl>
    <w:p w14:paraId="25E3B593" w14:textId="77777777" w:rsidR="008B0E2C" w:rsidRDefault="008B0E2C">
      <w:pPr>
        <w:spacing w:after="160"/>
      </w:pPr>
    </w:p>
    <w:p w14:paraId="2BB9816D"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4D258971"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06A6EED8" w14:textId="77777777" w:rsidR="008B0E2C" w:rsidRDefault="00000000">
            <w:r>
              <w:rPr>
                <w:b/>
                <w:bCs/>
                <w:color w:val="00A878"/>
                <w:spacing w:val="300"/>
                <w:sz w:val="18"/>
                <w:szCs w:val="18"/>
              </w:rPr>
              <w:t>SECTION 5</w:t>
            </w:r>
            <w:r>
              <w:rPr>
                <w:color w:val="0099CC"/>
                <w:sz w:val="28"/>
                <w:szCs w:val="28"/>
              </w:rPr>
              <w:t xml:space="preserve">   —   </w:t>
            </w:r>
            <w:r>
              <w:rPr>
                <w:b/>
                <w:bCs/>
                <w:color w:val="FFFFFF"/>
                <w:sz w:val="40"/>
                <w:szCs w:val="40"/>
              </w:rPr>
              <w:t>The Step-by-Step Refund Process</w:t>
            </w:r>
          </w:p>
        </w:tc>
      </w:tr>
      <w:tr w:rsidR="008B0E2C" w14:paraId="62B839B1"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34169E00" w14:textId="77777777" w:rsidR="008B0E2C" w:rsidRDefault="00000000">
            <w:r>
              <w:rPr>
                <w:i/>
                <w:iCs/>
                <w:color w:val="E0F4FB"/>
              </w:rPr>
              <w:t>From discovery through receipt — the complete playbook</w:t>
            </w:r>
          </w:p>
        </w:tc>
      </w:tr>
    </w:tbl>
    <w:p w14:paraId="508A3762" w14:textId="77777777" w:rsidR="008B0E2C" w:rsidRDefault="008B0E2C">
      <w:pPr>
        <w:spacing w:after="80"/>
      </w:pPr>
    </w:p>
    <w:p w14:paraId="617B7CA5" w14:textId="77777777" w:rsidR="008B0E2C" w:rsidRDefault="00000000">
      <w:pPr>
        <w:spacing w:before="60" w:after="110" w:line="284" w:lineRule="auto"/>
      </w:pPr>
      <w:r>
        <w:t>The following process applies to CPG companies pursuing Section 301 exclusion refunds and duty drawback claims — the two most common and highest-value pathways for the industry.</w:t>
      </w:r>
    </w:p>
    <w:p w14:paraId="5969C22C"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4640"/>
        <w:gridCol w:w="1840"/>
        <w:gridCol w:w="2120"/>
      </w:tblGrid>
      <w:tr w:rsidR="008B0E2C" w14:paraId="66C5B737" w14:textId="77777777">
        <w:tblPrEx>
          <w:tblCellMar>
            <w:top w:w="0" w:type="dxa"/>
            <w:bottom w:w="0" w:type="dxa"/>
          </w:tblCellMar>
        </w:tblPrEx>
        <w:trPr>
          <w:tblHeader/>
        </w:trPr>
        <w:tc>
          <w:tcPr>
            <w:tcW w:w="1120" w:type="dxa"/>
            <w:tcBorders>
              <w:top w:val="none" w:sz="0" w:space="0" w:color="FFFFFF"/>
              <w:left w:val="none" w:sz="0" w:space="0" w:color="FFFFFF"/>
              <w:bottom w:val="none" w:sz="0" w:space="0" w:color="FFFFFF"/>
              <w:right w:val="none" w:sz="0" w:space="0" w:color="FFFFFF"/>
            </w:tcBorders>
            <w:shd w:val="clear" w:color="auto" w:fill="003D5C"/>
            <w:tcMar>
              <w:top w:w="120" w:type="dxa"/>
              <w:left w:w="160" w:type="dxa"/>
              <w:bottom w:w="120" w:type="dxa"/>
              <w:right w:w="120" w:type="dxa"/>
            </w:tcMar>
          </w:tcPr>
          <w:p w14:paraId="494AF1F8" w14:textId="77777777" w:rsidR="008B0E2C" w:rsidRDefault="00000000">
            <w:r>
              <w:rPr>
                <w:b/>
                <w:bCs/>
                <w:color w:val="FFFFFF"/>
                <w:sz w:val="20"/>
                <w:szCs w:val="20"/>
              </w:rPr>
              <w:t>Phase</w:t>
            </w:r>
          </w:p>
        </w:tc>
        <w:tc>
          <w:tcPr>
            <w:tcW w:w="4640" w:type="dxa"/>
            <w:tcBorders>
              <w:top w:val="none" w:sz="0" w:space="0" w:color="FFFFFF"/>
              <w:left w:val="none" w:sz="0" w:space="0" w:color="FFFFFF"/>
              <w:bottom w:val="none" w:sz="0" w:space="0" w:color="FFFFFF"/>
              <w:right w:val="none" w:sz="0" w:space="0" w:color="FFFFFF"/>
            </w:tcBorders>
            <w:shd w:val="clear" w:color="auto" w:fill="003D5C"/>
            <w:tcMar>
              <w:top w:w="120" w:type="dxa"/>
              <w:left w:w="160" w:type="dxa"/>
              <w:bottom w:w="120" w:type="dxa"/>
              <w:right w:w="120" w:type="dxa"/>
            </w:tcMar>
          </w:tcPr>
          <w:p w14:paraId="5B3184B8" w14:textId="77777777" w:rsidR="008B0E2C" w:rsidRDefault="00000000">
            <w:r>
              <w:rPr>
                <w:b/>
                <w:bCs/>
                <w:color w:val="FFFFFF"/>
                <w:sz w:val="20"/>
                <w:szCs w:val="20"/>
              </w:rPr>
              <w:t>Action Required</w:t>
            </w:r>
          </w:p>
        </w:tc>
        <w:tc>
          <w:tcPr>
            <w:tcW w:w="1840" w:type="dxa"/>
            <w:tcBorders>
              <w:top w:val="none" w:sz="0" w:space="0" w:color="FFFFFF"/>
              <w:left w:val="none" w:sz="0" w:space="0" w:color="FFFFFF"/>
              <w:bottom w:val="none" w:sz="0" w:space="0" w:color="FFFFFF"/>
              <w:right w:val="none" w:sz="0" w:space="0" w:color="FFFFFF"/>
            </w:tcBorders>
            <w:shd w:val="clear" w:color="auto" w:fill="003D5C"/>
            <w:tcMar>
              <w:top w:w="120" w:type="dxa"/>
              <w:left w:w="160" w:type="dxa"/>
              <w:bottom w:w="120" w:type="dxa"/>
              <w:right w:w="120" w:type="dxa"/>
            </w:tcMar>
          </w:tcPr>
          <w:p w14:paraId="15BD6794" w14:textId="77777777" w:rsidR="008B0E2C" w:rsidRDefault="00000000">
            <w:r>
              <w:rPr>
                <w:b/>
                <w:bCs/>
                <w:color w:val="FFFFFF"/>
                <w:sz w:val="20"/>
                <w:szCs w:val="20"/>
              </w:rPr>
              <w:t>Owner</w:t>
            </w:r>
          </w:p>
        </w:tc>
        <w:tc>
          <w:tcPr>
            <w:tcW w:w="2120" w:type="dxa"/>
            <w:tcBorders>
              <w:top w:val="none" w:sz="0" w:space="0" w:color="FFFFFF"/>
              <w:left w:val="none" w:sz="0" w:space="0" w:color="FFFFFF"/>
              <w:bottom w:val="none" w:sz="0" w:space="0" w:color="FFFFFF"/>
              <w:right w:val="none" w:sz="0" w:space="0" w:color="FFFFFF"/>
            </w:tcBorders>
            <w:shd w:val="clear" w:color="auto" w:fill="003D5C"/>
            <w:tcMar>
              <w:top w:w="120" w:type="dxa"/>
              <w:left w:w="160" w:type="dxa"/>
              <w:bottom w:w="120" w:type="dxa"/>
              <w:right w:w="120" w:type="dxa"/>
            </w:tcMar>
          </w:tcPr>
          <w:p w14:paraId="1E3B5F5A" w14:textId="77777777" w:rsidR="008B0E2C" w:rsidRDefault="00000000">
            <w:r>
              <w:rPr>
                <w:b/>
                <w:bCs/>
                <w:color w:val="FFFFFF"/>
                <w:sz w:val="20"/>
                <w:szCs w:val="20"/>
              </w:rPr>
              <w:t>Timeline</w:t>
            </w:r>
          </w:p>
        </w:tc>
      </w:tr>
      <w:tr w:rsidR="008B0E2C" w14:paraId="6B7141AF"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E0F4FB"/>
            <w:tcMar>
              <w:top w:w="100" w:type="dxa"/>
              <w:left w:w="160" w:type="dxa"/>
              <w:bottom w:w="100" w:type="dxa"/>
              <w:right w:w="120" w:type="dxa"/>
            </w:tcMar>
          </w:tcPr>
          <w:p w14:paraId="4A12A9AC" w14:textId="77777777" w:rsidR="008B0E2C" w:rsidRDefault="00000000">
            <w:r>
              <w:rPr>
                <w:b/>
                <w:bCs/>
                <w:color w:val="005580"/>
                <w:sz w:val="19"/>
                <w:szCs w:val="19"/>
              </w:rPr>
              <w:t>Phase 1</w:t>
            </w:r>
          </w:p>
        </w:tc>
        <w:tc>
          <w:tcPr>
            <w:tcW w:w="46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49040C84" w14:textId="77777777" w:rsidR="008B0E2C" w:rsidRDefault="00000000">
            <w:r>
              <w:rPr>
                <w:sz w:val="19"/>
                <w:szCs w:val="19"/>
              </w:rPr>
              <w:t>Pull 5-year import history from ACE portal or customs broker. Organize by HTS code, entry date, duty paid, and country of origin.</w:t>
            </w:r>
          </w:p>
        </w:tc>
        <w:tc>
          <w:tcPr>
            <w:tcW w:w="18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3B610669" w14:textId="77777777" w:rsidR="008B0E2C" w:rsidRDefault="00000000">
            <w:r>
              <w:rPr>
                <w:sz w:val="19"/>
                <w:szCs w:val="19"/>
              </w:rPr>
              <w:t>CFO / Controller</w:t>
            </w:r>
          </w:p>
        </w:tc>
        <w:tc>
          <w:tcPr>
            <w:tcW w:w="212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43FB78C" w14:textId="77777777" w:rsidR="008B0E2C" w:rsidRDefault="00000000">
            <w:r>
              <w:rPr>
                <w:sz w:val="19"/>
                <w:szCs w:val="19"/>
              </w:rPr>
              <w:t>Weeks 1–2</w:t>
            </w:r>
          </w:p>
        </w:tc>
      </w:tr>
      <w:tr w:rsidR="008B0E2C" w14:paraId="39540C4F"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72F1CFE1" w14:textId="77777777" w:rsidR="008B0E2C" w:rsidRDefault="00000000">
            <w:r>
              <w:rPr>
                <w:b/>
                <w:bCs/>
                <w:color w:val="005580"/>
                <w:sz w:val="19"/>
                <w:szCs w:val="19"/>
              </w:rPr>
              <w:t>Phase 1</w:t>
            </w:r>
          </w:p>
        </w:tc>
        <w:tc>
          <w:tcPr>
            <w:tcW w:w="46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41C0EDF0" w14:textId="77777777" w:rsidR="008B0E2C" w:rsidRDefault="00000000">
            <w:r>
              <w:rPr>
                <w:sz w:val="19"/>
                <w:szCs w:val="19"/>
              </w:rPr>
              <w:t>Build Duty Payment Register — a master file of all duty entries subject to Section 301 tariffs.</w:t>
            </w:r>
          </w:p>
        </w:tc>
        <w:tc>
          <w:tcPr>
            <w:tcW w:w="18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2174EC20" w14:textId="77777777" w:rsidR="008B0E2C" w:rsidRDefault="00000000">
            <w:r>
              <w:rPr>
                <w:sz w:val="19"/>
                <w:szCs w:val="19"/>
              </w:rPr>
              <w:t>BELAY Finance Team</w:t>
            </w:r>
          </w:p>
        </w:tc>
        <w:tc>
          <w:tcPr>
            <w:tcW w:w="212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1D935C99" w14:textId="77777777" w:rsidR="008B0E2C" w:rsidRDefault="00000000">
            <w:r>
              <w:rPr>
                <w:sz w:val="19"/>
                <w:szCs w:val="19"/>
              </w:rPr>
              <w:t>Weeks 2–3</w:t>
            </w:r>
          </w:p>
        </w:tc>
      </w:tr>
      <w:tr w:rsidR="008B0E2C" w14:paraId="04F672E8"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E0F4FB"/>
            <w:tcMar>
              <w:top w:w="100" w:type="dxa"/>
              <w:left w:w="160" w:type="dxa"/>
              <w:bottom w:w="100" w:type="dxa"/>
              <w:right w:w="120" w:type="dxa"/>
            </w:tcMar>
          </w:tcPr>
          <w:p w14:paraId="68690B6A" w14:textId="77777777" w:rsidR="008B0E2C" w:rsidRDefault="00000000">
            <w:r>
              <w:rPr>
                <w:b/>
                <w:bCs/>
                <w:color w:val="005580"/>
                <w:sz w:val="19"/>
                <w:szCs w:val="19"/>
              </w:rPr>
              <w:t>Phase 2</w:t>
            </w:r>
          </w:p>
        </w:tc>
        <w:tc>
          <w:tcPr>
            <w:tcW w:w="46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20E7BDBF" w14:textId="77777777" w:rsidR="008B0E2C" w:rsidRDefault="00000000">
            <w:r>
              <w:rPr>
                <w:sz w:val="19"/>
                <w:szCs w:val="19"/>
              </w:rPr>
              <w:t>Cross-reference HTS codes against USTR exclusion database. Flag entries covered by any active or historical exclusion.</w:t>
            </w:r>
          </w:p>
        </w:tc>
        <w:tc>
          <w:tcPr>
            <w:tcW w:w="18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756712DD" w14:textId="77777777" w:rsidR="008B0E2C" w:rsidRDefault="00000000">
            <w:r>
              <w:rPr>
                <w:sz w:val="19"/>
                <w:szCs w:val="19"/>
              </w:rPr>
              <w:t>Customs Attorney</w:t>
            </w:r>
          </w:p>
        </w:tc>
        <w:tc>
          <w:tcPr>
            <w:tcW w:w="212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0E4B9742" w14:textId="77777777" w:rsidR="008B0E2C" w:rsidRDefault="00000000">
            <w:r>
              <w:rPr>
                <w:sz w:val="19"/>
                <w:szCs w:val="19"/>
              </w:rPr>
              <w:t>Weeks 3–5</w:t>
            </w:r>
          </w:p>
        </w:tc>
      </w:tr>
      <w:tr w:rsidR="008B0E2C" w14:paraId="5117F598"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7DA2DD08" w14:textId="77777777" w:rsidR="008B0E2C" w:rsidRDefault="00000000">
            <w:r>
              <w:rPr>
                <w:b/>
                <w:bCs/>
                <w:color w:val="005580"/>
                <w:sz w:val="19"/>
                <w:szCs w:val="19"/>
              </w:rPr>
              <w:t>Phase 2</w:t>
            </w:r>
          </w:p>
        </w:tc>
        <w:tc>
          <w:tcPr>
            <w:tcW w:w="46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6C06894B" w14:textId="77777777" w:rsidR="008B0E2C" w:rsidRDefault="00000000">
            <w:r>
              <w:rPr>
                <w:sz w:val="19"/>
                <w:szCs w:val="19"/>
              </w:rPr>
              <w:t>Calculate gross refund exposure for Section 301 exclusions. Prioritize by dollar amount and claim strength.</w:t>
            </w:r>
          </w:p>
        </w:tc>
        <w:tc>
          <w:tcPr>
            <w:tcW w:w="18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51CDF928" w14:textId="77777777" w:rsidR="008B0E2C" w:rsidRDefault="00000000">
            <w:r>
              <w:rPr>
                <w:sz w:val="19"/>
                <w:szCs w:val="19"/>
              </w:rPr>
              <w:t>Tax Strategist / CFO</w:t>
            </w:r>
          </w:p>
        </w:tc>
        <w:tc>
          <w:tcPr>
            <w:tcW w:w="212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65DC578F" w14:textId="77777777" w:rsidR="008B0E2C" w:rsidRDefault="00000000">
            <w:r>
              <w:rPr>
                <w:sz w:val="19"/>
                <w:szCs w:val="19"/>
              </w:rPr>
              <w:t>Week 5</w:t>
            </w:r>
          </w:p>
        </w:tc>
      </w:tr>
      <w:tr w:rsidR="008B0E2C" w14:paraId="6694DB87"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E0F4FB"/>
            <w:tcMar>
              <w:top w:w="100" w:type="dxa"/>
              <w:left w:w="160" w:type="dxa"/>
              <w:bottom w:w="100" w:type="dxa"/>
              <w:right w:w="120" w:type="dxa"/>
            </w:tcMar>
          </w:tcPr>
          <w:p w14:paraId="1F35B099" w14:textId="77777777" w:rsidR="008B0E2C" w:rsidRDefault="00000000">
            <w:r>
              <w:rPr>
                <w:b/>
                <w:bCs/>
                <w:color w:val="005580"/>
                <w:sz w:val="19"/>
                <w:szCs w:val="19"/>
              </w:rPr>
              <w:t>Phase 3</w:t>
            </w:r>
          </w:p>
        </w:tc>
        <w:tc>
          <w:tcPr>
            <w:tcW w:w="46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69C49208" w14:textId="77777777" w:rsidR="008B0E2C" w:rsidRDefault="00000000">
            <w:r>
              <w:rPr>
                <w:sz w:val="19"/>
                <w:szCs w:val="19"/>
              </w:rPr>
              <w:t>Gather supporting documentation: commercial invoices, entry summaries, bills of lading, packing lists, proof of payment.</w:t>
            </w:r>
          </w:p>
        </w:tc>
        <w:tc>
          <w:tcPr>
            <w:tcW w:w="18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35231C71" w14:textId="77777777" w:rsidR="008B0E2C" w:rsidRDefault="00000000">
            <w:r>
              <w:rPr>
                <w:sz w:val="19"/>
                <w:szCs w:val="19"/>
              </w:rPr>
              <w:t>Controller / AP Team</w:t>
            </w:r>
          </w:p>
        </w:tc>
        <w:tc>
          <w:tcPr>
            <w:tcW w:w="212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F06E53B" w14:textId="77777777" w:rsidR="008B0E2C" w:rsidRDefault="00000000">
            <w:r>
              <w:rPr>
                <w:sz w:val="19"/>
                <w:szCs w:val="19"/>
              </w:rPr>
              <w:t>Weeks 5–8</w:t>
            </w:r>
          </w:p>
        </w:tc>
      </w:tr>
      <w:tr w:rsidR="008B0E2C" w14:paraId="3743BC1F"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77B6B4BD" w14:textId="77777777" w:rsidR="008B0E2C" w:rsidRDefault="00000000">
            <w:r>
              <w:rPr>
                <w:b/>
                <w:bCs/>
                <w:color w:val="005580"/>
                <w:sz w:val="19"/>
                <w:szCs w:val="19"/>
              </w:rPr>
              <w:t>Phase 3</w:t>
            </w:r>
          </w:p>
        </w:tc>
        <w:tc>
          <w:tcPr>
            <w:tcW w:w="46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3740A9AD" w14:textId="77777777" w:rsidR="008B0E2C" w:rsidRDefault="00000000">
            <w:r>
              <w:rPr>
                <w:sz w:val="19"/>
                <w:szCs w:val="19"/>
              </w:rPr>
              <w:t>Prepare and file refund claims via CBP’s ACE portal (exclusion refunds) or Form 7551 (drawback).</w:t>
            </w:r>
          </w:p>
        </w:tc>
        <w:tc>
          <w:tcPr>
            <w:tcW w:w="18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46BA24CB" w14:textId="77777777" w:rsidR="008B0E2C" w:rsidRDefault="00000000">
            <w:r>
              <w:rPr>
                <w:sz w:val="19"/>
                <w:szCs w:val="19"/>
              </w:rPr>
              <w:t>Customs Attorney</w:t>
            </w:r>
          </w:p>
        </w:tc>
        <w:tc>
          <w:tcPr>
            <w:tcW w:w="212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6E225C81" w14:textId="77777777" w:rsidR="008B0E2C" w:rsidRDefault="00000000">
            <w:r>
              <w:rPr>
                <w:sz w:val="19"/>
                <w:szCs w:val="19"/>
              </w:rPr>
              <w:t>Weeks 8–10</w:t>
            </w:r>
          </w:p>
        </w:tc>
      </w:tr>
      <w:tr w:rsidR="008B0E2C" w14:paraId="2FAFC54A"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E0F4FB"/>
            <w:tcMar>
              <w:top w:w="100" w:type="dxa"/>
              <w:left w:w="160" w:type="dxa"/>
              <w:bottom w:w="100" w:type="dxa"/>
              <w:right w:w="120" w:type="dxa"/>
            </w:tcMar>
          </w:tcPr>
          <w:p w14:paraId="3C94C375" w14:textId="77777777" w:rsidR="008B0E2C" w:rsidRDefault="00000000">
            <w:r>
              <w:rPr>
                <w:b/>
                <w:bCs/>
                <w:color w:val="005580"/>
                <w:sz w:val="19"/>
                <w:szCs w:val="19"/>
              </w:rPr>
              <w:t>Phase 4</w:t>
            </w:r>
          </w:p>
        </w:tc>
        <w:tc>
          <w:tcPr>
            <w:tcW w:w="46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321B434F" w14:textId="77777777" w:rsidR="008B0E2C" w:rsidRDefault="00000000">
            <w:r>
              <w:rPr>
                <w:sz w:val="19"/>
                <w:szCs w:val="19"/>
              </w:rPr>
              <w:t>Respond to CBP Requests for Information (RFIs). Monitor claim status in ACE.</w:t>
            </w:r>
          </w:p>
        </w:tc>
        <w:tc>
          <w:tcPr>
            <w:tcW w:w="18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5AF20570" w14:textId="77777777" w:rsidR="008B0E2C" w:rsidRDefault="00000000">
            <w:r>
              <w:rPr>
                <w:sz w:val="19"/>
                <w:szCs w:val="19"/>
              </w:rPr>
              <w:t>Customs Attorney / CFO</w:t>
            </w:r>
          </w:p>
        </w:tc>
        <w:tc>
          <w:tcPr>
            <w:tcW w:w="212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1C78E6E" w14:textId="77777777" w:rsidR="008B0E2C" w:rsidRDefault="00000000">
            <w:r>
              <w:rPr>
                <w:sz w:val="19"/>
                <w:szCs w:val="19"/>
              </w:rPr>
              <w:t>Weeks 10–20</w:t>
            </w:r>
          </w:p>
        </w:tc>
      </w:tr>
      <w:tr w:rsidR="008B0E2C" w14:paraId="296777E2"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F0FAFD"/>
            <w:tcMar>
              <w:top w:w="100" w:type="dxa"/>
              <w:left w:w="160" w:type="dxa"/>
              <w:bottom w:w="100" w:type="dxa"/>
              <w:right w:w="120" w:type="dxa"/>
            </w:tcMar>
          </w:tcPr>
          <w:p w14:paraId="05306B9F" w14:textId="77777777" w:rsidR="008B0E2C" w:rsidRDefault="00000000">
            <w:r>
              <w:rPr>
                <w:b/>
                <w:bCs/>
                <w:color w:val="005580"/>
                <w:sz w:val="19"/>
                <w:szCs w:val="19"/>
              </w:rPr>
              <w:t>Phase 4</w:t>
            </w:r>
          </w:p>
        </w:tc>
        <w:tc>
          <w:tcPr>
            <w:tcW w:w="46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2D9D6E08" w14:textId="77777777" w:rsidR="008B0E2C" w:rsidRDefault="00000000">
            <w:r>
              <w:rPr>
                <w:sz w:val="19"/>
                <w:szCs w:val="19"/>
              </w:rPr>
              <w:t>Upon refund receipt, coordinate tax treatment with Tax Strategist. Record correctly in financial statements.</w:t>
            </w:r>
          </w:p>
        </w:tc>
        <w:tc>
          <w:tcPr>
            <w:tcW w:w="184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0B92F663" w14:textId="77777777" w:rsidR="008B0E2C" w:rsidRDefault="00000000">
            <w:r>
              <w:rPr>
                <w:sz w:val="19"/>
                <w:szCs w:val="19"/>
              </w:rPr>
              <w:t>Tax Strategist / Controller</w:t>
            </w:r>
          </w:p>
        </w:tc>
        <w:tc>
          <w:tcPr>
            <w:tcW w:w="2120" w:type="dxa"/>
            <w:tcBorders>
              <w:top w:val="single" w:sz="2" w:space="0" w:color="E8F4F8"/>
              <w:left w:val="single" w:sz="2" w:space="0" w:color="E8F4F8"/>
              <w:bottom w:val="single" w:sz="2" w:space="0" w:color="E8F4F8"/>
              <w:right w:val="single" w:sz="2" w:space="0" w:color="E8F4F8"/>
            </w:tcBorders>
            <w:shd w:val="clear" w:color="auto" w:fill="E8F4F8"/>
            <w:tcMar>
              <w:top w:w="100" w:type="dxa"/>
              <w:left w:w="160" w:type="dxa"/>
              <w:bottom w:w="100" w:type="dxa"/>
              <w:right w:w="120" w:type="dxa"/>
            </w:tcMar>
          </w:tcPr>
          <w:p w14:paraId="2002E066" w14:textId="77777777" w:rsidR="008B0E2C" w:rsidRDefault="00000000">
            <w:r>
              <w:rPr>
                <w:sz w:val="19"/>
                <w:szCs w:val="19"/>
              </w:rPr>
              <w:t>Upon receipt</w:t>
            </w:r>
          </w:p>
        </w:tc>
      </w:tr>
      <w:tr w:rsidR="008B0E2C" w14:paraId="41F71FF3" w14:textId="77777777">
        <w:tblPrEx>
          <w:tblCellMar>
            <w:top w:w="0" w:type="dxa"/>
            <w:bottom w:w="0" w:type="dxa"/>
          </w:tblCellMar>
        </w:tblPrEx>
        <w:tc>
          <w:tcPr>
            <w:tcW w:w="1120" w:type="dxa"/>
            <w:tcBorders>
              <w:top w:val="single" w:sz="2" w:space="0" w:color="E8F4F8"/>
              <w:left w:val="single" w:sz="2" w:space="0" w:color="E8F4F8"/>
              <w:bottom w:val="single" w:sz="2" w:space="0" w:color="E8F4F8"/>
              <w:right w:val="single" w:sz="2" w:space="0" w:color="E8F4F8"/>
            </w:tcBorders>
            <w:shd w:val="clear" w:color="auto" w:fill="E0F4FB"/>
            <w:tcMar>
              <w:top w:w="100" w:type="dxa"/>
              <w:left w:w="160" w:type="dxa"/>
              <w:bottom w:w="100" w:type="dxa"/>
              <w:right w:w="120" w:type="dxa"/>
            </w:tcMar>
          </w:tcPr>
          <w:p w14:paraId="016ECFE1" w14:textId="77777777" w:rsidR="008B0E2C" w:rsidRDefault="00000000">
            <w:r>
              <w:rPr>
                <w:b/>
                <w:bCs/>
                <w:color w:val="005580"/>
                <w:sz w:val="19"/>
                <w:szCs w:val="19"/>
              </w:rPr>
              <w:t>Phase 5</w:t>
            </w:r>
          </w:p>
        </w:tc>
        <w:tc>
          <w:tcPr>
            <w:tcW w:w="46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132995C0" w14:textId="77777777" w:rsidR="008B0E2C" w:rsidRDefault="00000000">
            <w:r>
              <w:rPr>
                <w:sz w:val="19"/>
                <w:szCs w:val="19"/>
              </w:rPr>
              <w:t>Establish ongoing monitoring system. Set calendar reminders for new exclusion windows, protest deadlines, and drawback dates.</w:t>
            </w:r>
          </w:p>
        </w:tc>
        <w:tc>
          <w:tcPr>
            <w:tcW w:w="184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3D62A445" w14:textId="77777777" w:rsidR="008B0E2C" w:rsidRDefault="00000000">
            <w:r>
              <w:rPr>
                <w:sz w:val="19"/>
                <w:szCs w:val="19"/>
              </w:rPr>
              <w:t>CFO / BELAY Team</w:t>
            </w:r>
          </w:p>
        </w:tc>
        <w:tc>
          <w:tcPr>
            <w:tcW w:w="2120" w:type="dxa"/>
            <w:tcBorders>
              <w:top w:val="single" w:sz="2" w:space="0" w:color="E8F4F8"/>
              <w:left w:val="single" w:sz="2" w:space="0" w:color="E8F4F8"/>
              <w:bottom w:val="single" w:sz="2" w:space="0" w:color="E8F4F8"/>
              <w:right w:val="single" w:sz="2" w:space="0" w:color="E8F4F8"/>
            </w:tcBorders>
            <w:shd w:val="clear" w:color="auto" w:fill="FFFFFF"/>
            <w:tcMar>
              <w:top w:w="100" w:type="dxa"/>
              <w:left w:w="160" w:type="dxa"/>
              <w:bottom w:w="100" w:type="dxa"/>
              <w:right w:w="120" w:type="dxa"/>
            </w:tcMar>
          </w:tcPr>
          <w:p w14:paraId="0C44AEEB" w14:textId="77777777" w:rsidR="008B0E2C" w:rsidRDefault="00000000">
            <w:r>
              <w:rPr>
                <w:sz w:val="19"/>
                <w:szCs w:val="19"/>
              </w:rPr>
              <w:t>Ongoing</w:t>
            </w:r>
          </w:p>
        </w:tc>
      </w:tr>
    </w:tbl>
    <w:p w14:paraId="4091780E" w14:textId="77777777" w:rsidR="008B0E2C" w:rsidRDefault="008B0E2C">
      <w:pPr>
        <w:spacing w:after="1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48F1A568"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27B79591" w14:textId="77777777" w:rsidR="008B0E2C" w:rsidRDefault="00000000">
            <w:r>
              <w:rPr>
                <w:b/>
                <w:bCs/>
                <w:color w:val="005580"/>
                <w:sz w:val="30"/>
                <w:szCs w:val="30"/>
              </w:rPr>
              <w:t>Section 301 Exclusion Refund — Detailed Filing Steps</w:t>
            </w:r>
          </w:p>
        </w:tc>
      </w:tr>
    </w:tbl>
    <w:p w14:paraId="7963566D"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7C469F31"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72F79705" w14:textId="77777777" w:rsidR="008B0E2C" w:rsidRDefault="00000000">
            <w:pPr>
              <w:spacing w:before="40"/>
              <w:jc w:val="center"/>
            </w:pPr>
            <w:r>
              <w:rPr>
                <w:b/>
                <w:bCs/>
                <w:color w:val="FFFFFF"/>
                <w:sz w:val="30"/>
                <w:szCs w:val="30"/>
              </w:rPr>
              <w:t>01</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1F698B96" w14:textId="77777777" w:rsidR="008B0E2C" w:rsidRDefault="00000000">
            <w:pPr>
              <w:spacing w:after="50"/>
            </w:pPr>
            <w:r>
              <w:rPr>
                <w:b/>
                <w:bCs/>
                <w:color w:val="005580"/>
              </w:rPr>
              <w:t>Identify qualifying entries</w:t>
            </w:r>
          </w:p>
          <w:p w14:paraId="2F1CBB35" w14:textId="77777777" w:rsidR="008B0E2C" w:rsidRDefault="00000000">
            <w:pPr>
              <w:spacing w:line="268" w:lineRule="auto"/>
            </w:pPr>
            <w:r>
              <w:rPr>
                <w:sz w:val="21"/>
                <w:szCs w:val="21"/>
              </w:rPr>
              <w:t>Find all entries where goods were covered by a USTR exclusion and duties were paid during the exclusion period.</w:t>
            </w:r>
          </w:p>
        </w:tc>
      </w:tr>
    </w:tbl>
    <w:p w14:paraId="3C560AD2"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6BB45A03"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4BE9E30B" w14:textId="77777777" w:rsidR="008B0E2C" w:rsidRDefault="00000000">
            <w:pPr>
              <w:spacing w:before="40"/>
              <w:jc w:val="center"/>
            </w:pPr>
            <w:r>
              <w:rPr>
                <w:b/>
                <w:bCs/>
                <w:color w:val="FFFFFF"/>
                <w:sz w:val="30"/>
                <w:szCs w:val="30"/>
              </w:rPr>
              <w:t>02</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66B80525" w14:textId="77777777" w:rsidR="008B0E2C" w:rsidRDefault="00000000">
            <w:pPr>
              <w:spacing w:after="50"/>
            </w:pPr>
            <w:r>
              <w:rPr>
                <w:b/>
                <w:bCs/>
                <w:color w:val="007A58"/>
              </w:rPr>
              <w:t>Confirm HTS classification</w:t>
            </w:r>
          </w:p>
          <w:p w14:paraId="3CAA48B7" w14:textId="77777777" w:rsidR="008B0E2C" w:rsidRDefault="00000000">
            <w:pPr>
              <w:spacing w:line="268" w:lineRule="auto"/>
            </w:pPr>
            <w:r>
              <w:rPr>
                <w:sz w:val="21"/>
                <w:szCs w:val="21"/>
              </w:rPr>
              <w:t>Get written confirmation from your customs attorney that the HTS code and product description qualify under the specific exclusion language — USTR exclusions are interpreted narrowly.</w:t>
            </w:r>
          </w:p>
        </w:tc>
      </w:tr>
    </w:tbl>
    <w:p w14:paraId="00EE1483"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42E997B0"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48959CF6" w14:textId="77777777" w:rsidR="008B0E2C" w:rsidRDefault="00000000">
            <w:pPr>
              <w:spacing w:before="40"/>
              <w:jc w:val="center"/>
            </w:pPr>
            <w:r>
              <w:rPr>
                <w:b/>
                <w:bCs/>
                <w:color w:val="FFFFFF"/>
                <w:sz w:val="30"/>
                <w:szCs w:val="30"/>
              </w:rPr>
              <w:t>03</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2EB36C20" w14:textId="77777777" w:rsidR="008B0E2C" w:rsidRDefault="00000000">
            <w:pPr>
              <w:spacing w:after="50"/>
            </w:pPr>
            <w:r>
              <w:rPr>
                <w:b/>
                <w:bCs/>
                <w:color w:val="005580"/>
              </w:rPr>
              <w:t>Gather entry documentation</w:t>
            </w:r>
          </w:p>
          <w:p w14:paraId="3447D600" w14:textId="77777777" w:rsidR="008B0E2C" w:rsidRDefault="00000000">
            <w:pPr>
              <w:spacing w:line="268" w:lineRule="auto"/>
            </w:pPr>
            <w:r>
              <w:rPr>
                <w:sz w:val="21"/>
                <w:szCs w:val="21"/>
              </w:rPr>
              <w:t>Collect the complete entry package: CBP Form 7501, commercial invoice, packing list, bill of lading, and proof of duty payment.</w:t>
            </w:r>
          </w:p>
        </w:tc>
      </w:tr>
    </w:tbl>
    <w:p w14:paraId="166D250A"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1574E53D"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7432ABE6" w14:textId="77777777" w:rsidR="008B0E2C" w:rsidRDefault="00000000">
            <w:pPr>
              <w:spacing w:before="40"/>
              <w:jc w:val="center"/>
            </w:pPr>
            <w:r>
              <w:rPr>
                <w:b/>
                <w:bCs/>
                <w:color w:val="FFFFFF"/>
                <w:sz w:val="30"/>
                <w:szCs w:val="30"/>
              </w:rPr>
              <w:t>04</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56F98A65" w14:textId="77777777" w:rsidR="008B0E2C" w:rsidRDefault="00000000">
            <w:pPr>
              <w:spacing w:after="50"/>
            </w:pPr>
            <w:r>
              <w:rPr>
                <w:b/>
                <w:bCs/>
                <w:color w:val="007A58"/>
              </w:rPr>
              <w:t>File a Post Summary Correction or Protest</w:t>
            </w:r>
          </w:p>
          <w:p w14:paraId="3E3F177D" w14:textId="77777777" w:rsidR="008B0E2C" w:rsidRDefault="00000000">
            <w:pPr>
              <w:spacing w:line="268" w:lineRule="auto"/>
            </w:pPr>
            <w:r>
              <w:rPr>
                <w:sz w:val="21"/>
                <w:szCs w:val="21"/>
              </w:rPr>
              <w:t>File a PSC or CBP Form 19 Protest depending on whether the entry is still within the amendment window. Protests must be filed within 180 days of liquidation.</w:t>
            </w:r>
          </w:p>
        </w:tc>
      </w:tr>
    </w:tbl>
    <w:p w14:paraId="408B0BEF"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13D4F503"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3155A133" w14:textId="77777777" w:rsidR="008B0E2C" w:rsidRDefault="00000000">
            <w:pPr>
              <w:spacing w:before="40"/>
              <w:jc w:val="center"/>
            </w:pPr>
            <w:r>
              <w:rPr>
                <w:b/>
                <w:bCs/>
                <w:color w:val="FFFFFF"/>
                <w:sz w:val="30"/>
                <w:szCs w:val="30"/>
              </w:rPr>
              <w:t>05</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3D15DF0B" w14:textId="77777777" w:rsidR="008B0E2C" w:rsidRDefault="00000000">
            <w:pPr>
              <w:spacing w:after="50"/>
            </w:pPr>
            <w:r>
              <w:rPr>
                <w:b/>
                <w:bCs/>
                <w:color w:val="005580"/>
              </w:rPr>
              <w:t>Submit electronically through ACE</w:t>
            </w:r>
          </w:p>
          <w:p w14:paraId="0B1A87B6" w14:textId="77777777" w:rsidR="008B0E2C" w:rsidRDefault="00000000">
            <w:pPr>
              <w:spacing w:line="268" w:lineRule="auto"/>
            </w:pPr>
            <w:r>
              <w:rPr>
                <w:sz w:val="21"/>
                <w:szCs w:val="21"/>
              </w:rPr>
              <w:t>Your customs attorney or broker with Power of Attorney files on your behalf.</w:t>
            </w:r>
          </w:p>
        </w:tc>
      </w:tr>
    </w:tbl>
    <w:p w14:paraId="6BC827CA"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7B73C2F1"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78AB56F5" w14:textId="77777777" w:rsidR="008B0E2C" w:rsidRDefault="00000000">
            <w:pPr>
              <w:spacing w:before="40"/>
              <w:jc w:val="center"/>
            </w:pPr>
            <w:r>
              <w:rPr>
                <w:b/>
                <w:bCs/>
                <w:color w:val="FFFFFF"/>
                <w:sz w:val="30"/>
                <w:szCs w:val="30"/>
              </w:rPr>
              <w:t>06</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6033E877" w14:textId="77777777" w:rsidR="008B0E2C" w:rsidRDefault="00000000">
            <w:pPr>
              <w:spacing w:after="50"/>
            </w:pPr>
            <w:r>
              <w:rPr>
                <w:b/>
                <w:bCs/>
                <w:color w:val="007A58"/>
              </w:rPr>
              <w:t>Track and respond to RFIs</w:t>
            </w:r>
          </w:p>
          <w:p w14:paraId="426A19FC" w14:textId="77777777" w:rsidR="008B0E2C" w:rsidRDefault="00000000">
            <w:pPr>
              <w:spacing w:line="268" w:lineRule="auto"/>
            </w:pPr>
            <w:r>
              <w:rPr>
                <w:sz w:val="21"/>
                <w:szCs w:val="21"/>
              </w:rPr>
              <w:t>Monitor claim status in ACE. If CBP issues a Request for Information, respond within the specified timeframe — typically 30 days.</w:t>
            </w:r>
          </w:p>
        </w:tc>
      </w:tr>
    </w:tbl>
    <w:p w14:paraId="230A950F"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0456E130"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68051D83" w14:textId="77777777" w:rsidR="008B0E2C" w:rsidRDefault="00000000">
            <w:pPr>
              <w:spacing w:before="40"/>
              <w:jc w:val="center"/>
            </w:pPr>
            <w:r>
              <w:rPr>
                <w:b/>
                <w:bCs/>
                <w:color w:val="FFFFFF"/>
                <w:sz w:val="30"/>
                <w:szCs w:val="30"/>
              </w:rPr>
              <w:t>07</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274A2C38" w14:textId="77777777" w:rsidR="008B0E2C" w:rsidRDefault="00000000">
            <w:pPr>
              <w:spacing w:after="50"/>
            </w:pPr>
            <w:r>
              <w:rPr>
                <w:b/>
                <w:bCs/>
                <w:color w:val="005580"/>
              </w:rPr>
              <w:t>Record the refund correctly</w:t>
            </w:r>
          </w:p>
          <w:p w14:paraId="638F1CF5" w14:textId="77777777" w:rsidR="008B0E2C" w:rsidRDefault="00000000">
            <w:pPr>
              <w:spacing w:line="268" w:lineRule="auto"/>
            </w:pPr>
            <w:r>
              <w:rPr>
                <w:sz w:val="21"/>
                <w:szCs w:val="21"/>
              </w:rPr>
              <w:t>Upon CBP approval, coordinate with your Controller and Tax Strategist to record and report the refund appropriately.</w:t>
            </w:r>
          </w:p>
        </w:tc>
      </w:tr>
    </w:tbl>
    <w:p w14:paraId="14099D6C" w14:textId="77777777" w:rsidR="008B0E2C" w:rsidRDefault="008B0E2C">
      <w:pPr>
        <w:spacing w:after="32"/>
      </w:pPr>
    </w:p>
    <w:p w14:paraId="4FE8E770"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66D76901"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35039E29" w14:textId="77777777" w:rsidR="008B0E2C" w:rsidRDefault="00000000">
            <w:r>
              <w:rPr>
                <w:b/>
                <w:bCs/>
                <w:color w:val="005580"/>
                <w:sz w:val="30"/>
                <w:szCs w:val="30"/>
              </w:rPr>
              <w:t>Duty Drawback — Detailed Filing Steps</w:t>
            </w:r>
          </w:p>
        </w:tc>
      </w:tr>
    </w:tbl>
    <w:p w14:paraId="70E42A98"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134E0C98"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7C43043F" w14:textId="77777777" w:rsidR="008B0E2C" w:rsidRDefault="00000000">
            <w:pPr>
              <w:spacing w:before="40"/>
              <w:jc w:val="center"/>
            </w:pPr>
            <w:r>
              <w:rPr>
                <w:b/>
                <w:bCs/>
                <w:color w:val="FFFFFF"/>
                <w:sz w:val="30"/>
                <w:szCs w:val="30"/>
              </w:rPr>
              <w:t>01</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3206EED5" w14:textId="77777777" w:rsidR="008B0E2C" w:rsidRDefault="00000000">
            <w:pPr>
              <w:spacing w:after="50"/>
            </w:pPr>
            <w:r>
              <w:rPr>
                <w:b/>
                <w:bCs/>
                <w:color w:val="005580"/>
              </w:rPr>
              <w:t>Determine product eligibility</w:t>
            </w:r>
          </w:p>
          <w:p w14:paraId="4F05244A" w14:textId="77777777" w:rsidR="008B0E2C" w:rsidRDefault="00000000">
            <w:pPr>
              <w:spacing w:line="268" w:lineRule="auto"/>
            </w:pPr>
            <w:r>
              <w:rPr>
                <w:sz w:val="21"/>
                <w:szCs w:val="21"/>
              </w:rPr>
              <w:t>Identify which exported products contain imported components on which duties were paid (manufacturing drawback), or identify exported goods imported in the same condition (unused merchandise drawback).</w:t>
            </w:r>
          </w:p>
        </w:tc>
      </w:tr>
    </w:tbl>
    <w:p w14:paraId="3445D14D"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68C08152"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757B45A5" w14:textId="77777777" w:rsidR="008B0E2C" w:rsidRDefault="00000000">
            <w:pPr>
              <w:spacing w:before="40"/>
              <w:jc w:val="center"/>
            </w:pPr>
            <w:r>
              <w:rPr>
                <w:b/>
                <w:bCs/>
                <w:color w:val="FFFFFF"/>
                <w:sz w:val="30"/>
                <w:szCs w:val="30"/>
              </w:rPr>
              <w:t>02</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152BC082" w14:textId="77777777" w:rsidR="008B0E2C" w:rsidRDefault="00000000">
            <w:pPr>
              <w:spacing w:after="50"/>
            </w:pPr>
            <w:r>
              <w:rPr>
                <w:b/>
                <w:bCs/>
                <w:color w:val="007A58"/>
              </w:rPr>
              <w:t>Establish substitution rules</w:t>
            </w:r>
          </w:p>
          <w:p w14:paraId="4A84EE8D" w14:textId="77777777" w:rsidR="008B0E2C" w:rsidRDefault="00000000">
            <w:pPr>
              <w:spacing w:line="268" w:lineRule="auto"/>
            </w:pPr>
            <w:r>
              <w:rPr>
                <w:sz w:val="21"/>
                <w:szCs w:val="21"/>
              </w:rPr>
              <w:t>Work with your customs attorney to establish a ruling or informal determination on the substitution rules applicable to your product category.</w:t>
            </w:r>
          </w:p>
        </w:tc>
      </w:tr>
    </w:tbl>
    <w:p w14:paraId="3C2E086C"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721B1783"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4D05E4B6" w14:textId="77777777" w:rsidR="008B0E2C" w:rsidRDefault="00000000">
            <w:pPr>
              <w:spacing w:before="40"/>
              <w:jc w:val="center"/>
            </w:pPr>
            <w:r>
              <w:rPr>
                <w:b/>
                <w:bCs/>
                <w:color w:val="FFFFFF"/>
                <w:sz w:val="30"/>
                <w:szCs w:val="30"/>
              </w:rPr>
              <w:t>03</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7623ECE9" w14:textId="77777777" w:rsidR="008B0E2C" w:rsidRDefault="00000000">
            <w:pPr>
              <w:spacing w:after="50"/>
            </w:pPr>
            <w:r>
              <w:rPr>
                <w:b/>
                <w:bCs/>
                <w:color w:val="005580"/>
              </w:rPr>
              <w:t>Gather import and export records</w:t>
            </w:r>
          </w:p>
          <w:p w14:paraId="5B449BD5" w14:textId="77777777" w:rsidR="008B0E2C" w:rsidRDefault="00000000">
            <w:pPr>
              <w:spacing w:line="268" w:lineRule="auto"/>
            </w:pPr>
            <w:r>
              <w:rPr>
                <w:sz w:val="21"/>
                <w:szCs w:val="21"/>
              </w:rPr>
              <w:t>Collect entry summaries, invoices, duty payment records, export declarations, bills of lading, and proof of export for the relevant 5-year window.</w:t>
            </w:r>
          </w:p>
        </w:tc>
      </w:tr>
    </w:tbl>
    <w:p w14:paraId="1461F454"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4AEA4CBB"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0CE6F809" w14:textId="77777777" w:rsidR="008B0E2C" w:rsidRDefault="00000000">
            <w:pPr>
              <w:spacing w:before="40"/>
              <w:jc w:val="center"/>
            </w:pPr>
            <w:r>
              <w:rPr>
                <w:b/>
                <w:bCs/>
                <w:color w:val="FFFFFF"/>
                <w:sz w:val="30"/>
                <w:szCs w:val="30"/>
              </w:rPr>
              <w:t>04</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13C6299E" w14:textId="77777777" w:rsidR="008B0E2C" w:rsidRDefault="00000000">
            <w:pPr>
              <w:spacing w:after="50"/>
            </w:pPr>
            <w:r>
              <w:rPr>
                <w:b/>
                <w:bCs/>
                <w:color w:val="007A58"/>
              </w:rPr>
              <w:t>Prepare Form 7551</w:t>
            </w:r>
          </w:p>
          <w:p w14:paraId="34375CA7" w14:textId="77777777" w:rsidR="008B0E2C" w:rsidRDefault="00000000">
            <w:pPr>
              <w:spacing w:line="268" w:lineRule="auto"/>
            </w:pPr>
            <w:r>
              <w:rPr>
                <w:sz w:val="21"/>
                <w:szCs w:val="21"/>
              </w:rPr>
              <w:t>Prepare the Drawback Entry with supporting schedules. Manufacturing drawback requires a Drawback Ruling or General Manufacturing Drawback ruling if not already established.</w:t>
            </w:r>
          </w:p>
        </w:tc>
      </w:tr>
    </w:tbl>
    <w:p w14:paraId="198E8883"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24030A14"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77A8"/>
            <w:tcMar>
              <w:top w:w="120" w:type="dxa"/>
              <w:left w:w="60" w:type="dxa"/>
              <w:bottom w:w="120" w:type="dxa"/>
              <w:right w:w="60" w:type="dxa"/>
            </w:tcMar>
          </w:tcPr>
          <w:p w14:paraId="0C17D69F" w14:textId="77777777" w:rsidR="008B0E2C" w:rsidRDefault="00000000">
            <w:pPr>
              <w:spacing w:before="40"/>
              <w:jc w:val="center"/>
            </w:pPr>
            <w:r>
              <w:rPr>
                <w:b/>
                <w:bCs/>
                <w:color w:val="FFFFFF"/>
                <w:sz w:val="30"/>
                <w:szCs w:val="30"/>
              </w:rPr>
              <w:t>05</w:t>
            </w:r>
          </w:p>
        </w:tc>
        <w:tc>
          <w:tcPr>
            <w:tcW w:w="9080" w:type="dxa"/>
            <w:tcBorders>
              <w:top w:val="none" w:sz="0" w:space="0" w:color="FFFFFF"/>
              <w:left w:val="none" w:sz="0" w:space="0" w:color="FFFFFF"/>
              <w:bottom w:val="single" w:sz="4" w:space="0" w:color="C8E0EC"/>
              <w:right w:val="none" w:sz="0" w:space="0" w:color="FFFFFF"/>
            </w:tcBorders>
            <w:shd w:val="clear" w:color="auto" w:fill="F0FAFD"/>
            <w:tcMar>
              <w:top w:w="120" w:type="dxa"/>
              <w:left w:w="240" w:type="dxa"/>
              <w:bottom w:w="120" w:type="dxa"/>
              <w:right w:w="200" w:type="dxa"/>
            </w:tcMar>
          </w:tcPr>
          <w:p w14:paraId="09913AC0" w14:textId="77777777" w:rsidR="008B0E2C" w:rsidRDefault="00000000">
            <w:pPr>
              <w:spacing w:after="50"/>
            </w:pPr>
            <w:r>
              <w:rPr>
                <w:b/>
                <w:bCs/>
                <w:color w:val="005580"/>
              </w:rPr>
              <w:t>File with bond via ACE</w:t>
            </w:r>
          </w:p>
          <w:p w14:paraId="238798F1" w14:textId="77777777" w:rsidR="008B0E2C" w:rsidRDefault="00000000">
            <w:pPr>
              <w:spacing w:line="268" w:lineRule="auto"/>
            </w:pPr>
            <w:r>
              <w:rPr>
                <w:sz w:val="21"/>
                <w:szCs w:val="21"/>
              </w:rPr>
              <w:t>Drawback claims require a bond — your customs broker can facilitate this. File electronically through ACE.</w:t>
            </w:r>
          </w:p>
        </w:tc>
      </w:tr>
    </w:tbl>
    <w:p w14:paraId="23A66168" w14:textId="77777777" w:rsidR="008B0E2C" w:rsidRDefault="008B0E2C">
      <w:pPr>
        <w:spacing w:after="32"/>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9080"/>
      </w:tblGrid>
      <w:tr w:rsidR="008B0E2C" w14:paraId="4E261D2D"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00A878"/>
            <w:tcMar>
              <w:top w:w="120" w:type="dxa"/>
              <w:left w:w="60" w:type="dxa"/>
              <w:bottom w:w="120" w:type="dxa"/>
              <w:right w:w="60" w:type="dxa"/>
            </w:tcMar>
          </w:tcPr>
          <w:p w14:paraId="40F398D7" w14:textId="77777777" w:rsidR="008B0E2C" w:rsidRDefault="00000000">
            <w:pPr>
              <w:spacing w:before="40"/>
              <w:jc w:val="center"/>
            </w:pPr>
            <w:r>
              <w:rPr>
                <w:b/>
                <w:bCs/>
                <w:color w:val="FFFFFF"/>
                <w:sz w:val="30"/>
                <w:szCs w:val="30"/>
              </w:rPr>
              <w:t>06</w:t>
            </w:r>
          </w:p>
        </w:tc>
        <w:tc>
          <w:tcPr>
            <w:tcW w:w="9080" w:type="dxa"/>
            <w:tcBorders>
              <w:top w:val="none" w:sz="0" w:space="0" w:color="FFFFFF"/>
              <w:left w:val="none" w:sz="0" w:space="0" w:color="FFFFFF"/>
              <w:bottom w:val="single" w:sz="4" w:space="0" w:color="C8E0EC"/>
              <w:right w:val="none" w:sz="0" w:space="0" w:color="FFFFFF"/>
            </w:tcBorders>
            <w:shd w:val="clear" w:color="auto" w:fill="F0FAF6"/>
            <w:tcMar>
              <w:top w:w="120" w:type="dxa"/>
              <w:left w:w="240" w:type="dxa"/>
              <w:bottom w:w="120" w:type="dxa"/>
              <w:right w:w="200" w:type="dxa"/>
            </w:tcMar>
          </w:tcPr>
          <w:p w14:paraId="5C3B4393" w14:textId="77777777" w:rsidR="008B0E2C" w:rsidRDefault="00000000">
            <w:pPr>
              <w:spacing w:after="50"/>
            </w:pPr>
            <w:r>
              <w:rPr>
                <w:b/>
                <w:bCs/>
                <w:color w:val="007A58"/>
              </w:rPr>
              <w:t>Monitor claim through completion</w:t>
            </w:r>
          </w:p>
          <w:p w14:paraId="689C4594" w14:textId="77777777" w:rsidR="008B0E2C" w:rsidRDefault="00000000">
            <w:pPr>
              <w:spacing w:line="268" w:lineRule="auto"/>
            </w:pPr>
            <w:r>
              <w:rPr>
                <w:sz w:val="21"/>
                <w:szCs w:val="21"/>
              </w:rPr>
              <w:t>CBP review timelines for drawback vary from 6–18 months depending on complexity and current workload.</w:t>
            </w:r>
          </w:p>
        </w:tc>
      </w:tr>
    </w:tbl>
    <w:p w14:paraId="273A1C18" w14:textId="77777777" w:rsidR="008B0E2C" w:rsidRDefault="008B0E2C">
      <w:pPr>
        <w:spacing w:after="32"/>
      </w:pPr>
    </w:p>
    <w:p w14:paraId="7B5488E6" w14:textId="77777777" w:rsidR="008B0E2C" w:rsidRDefault="008B0E2C">
      <w:pPr>
        <w:spacing w:after="160"/>
      </w:pPr>
    </w:p>
    <w:p w14:paraId="7514EAFE"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056D61BE"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3E8813D3" w14:textId="77777777" w:rsidR="008B0E2C" w:rsidRDefault="00000000">
            <w:r>
              <w:rPr>
                <w:b/>
                <w:bCs/>
                <w:color w:val="00A878"/>
                <w:spacing w:val="300"/>
                <w:sz w:val="18"/>
                <w:szCs w:val="18"/>
              </w:rPr>
              <w:t>SECTION 6</w:t>
            </w:r>
            <w:r>
              <w:rPr>
                <w:color w:val="0099CC"/>
                <w:sz w:val="28"/>
                <w:szCs w:val="28"/>
              </w:rPr>
              <w:t xml:space="preserve">   —   </w:t>
            </w:r>
            <w:r>
              <w:rPr>
                <w:b/>
                <w:bCs/>
                <w:color w:val="FFFFFF"/>
                <w:sz w:val="40"/>
                <w:szCs w:val="40"/>
              </w:rPr>
              <w:t>Common Pitfalls to Avoid</w:t>
            </w:r>
          </w:p>
        </w:tc>
      </w:tr>
      <w:tr w:rsidR="008B0E2C" w14:paraId="7976F585"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504B7291" w14:textId="77777777" w:rsidR="008B0E2C" w:rsidRDefault="00000000">
            <w:r>
              <w:rPr>
                <w:i/>
                <w:iCs/>
                <w:color w:val="E0F4FB"/>
              </w:rPr>
              <w:t>What BELAY sees go wrong — and how to stay ahead of it</w:t>
            </w:r>
          </w:p>
        </w:tc>
      </w:tr>
    </w:tbl>
    <w:p w14:paraId="63B5EF24" w14:textId="77777777" w:rsidR="008B0E2C" w:rsidRDefault="008B0E2C">
      <w:pPr>
        <w:spacing w:after="80"/>
      </w:pPr>
    </w:p>
    <w:p w14:paraId="55A433A2" w14:textId="77777777" w:rsidR="008B0E2C" w:rsidRDefault="00000000">
      <w:pPr>
        <w:spacing w:before="80" w:after="120" w:line="290" w:lineRule="auto"/>
      </w:pPr>
      <w:r>
        <w:rPr>
          <w:i/>
          <w:iCs/>
          <w:color w:val="1A4A6B"/>
          <w:sz w:val="24"/>
          <w:szCs w:val="24"/>
        </w:rPr>
        <w:t>BELAY’s finance professionals have worked alongside CPG companies navigating tariff recovery. The same critical mistakes appear repeatedly. Here’s what to watch for:</w:t>
      </w:r>
    </w:p>
    <w:p w14:paraId="175DBBD9"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3FE4D277"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01FC4030"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4537286F" w14:textId="77777777" w:rsidR="008B0E2C" w:rsidRDefault="00000000">
            <w:pPr>
              <w:spacing w:after="36"/>
            </w:pPr>
            <w:r>
              <w:rPr>
                <w:b/>
                <w:bCs/>
                <w:color w:val="FF6B6B"/>
                <w:sz w:val="21"/>
                <w:szCs w:val="21"/>
              </w:rPr>
              <w:t>Waiting too long to start</w:t>
            </w:r>
          </w:p>
          <w:p w14:paraId="7017109A" w14:textId="77777777" w:rsidR="008B0E2C" w:rsidRDefault="00000000">
            <w:pPr>
              <w:spacing w:line="264" w:lineRule="auto"/>
            </w:pPr>
            <w:r>
              <w:rPr>
                <w:sz w:val="20"/>
                <w:szCs w:val="20"/>
              </w:rPr>
              <w:t>The drawback window is 5 years from importation. Section 301 exclusion protest windows are 180 days from liquidation. Every month of delay is potential recovery permanently off the table.</w:t>
            </w:r>
          </w:p>
        </w:tc>
      </w:tr>
    </w:tbl>
    <w:p w14:paraId="486AF612"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1BFE3DA3"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4A6EFE62"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1F21DA62" w14:textId="77777777" w:rsidR="008B0E2C" w:rsidRDefault="00000000">
            <w:pPr>
              <w:spacing w:after="36"/>
            </w:pPr>
            <w:r>
              <w:rPr>
                <w:b/>
                <w:bCs/>
                <w:color w:val="FF6B6B"/>
                <w:sz w:val="21"/>
                <w:szCs w:val="21"/>
              </w:rPr>
              <w:t>Delegating entirely to the customs broker</w:t>
            </w:r>
          </w:p>
          <w:p w14:paraId="70C3A0D7" w14:textId="77777777" w:rsidR="008B0E2C" w:rsidRDefault="00000000">
            <w:pPr>
              <w:spacing w:line="264" w:lineRule="auto"/>
            </w:pPr>
            <w:r>
              <w:rPr>
                <w:sz w:val="20"/>
                <w:szCs w:val="20"/>
              </w:rPr>
              <w:t>Customs brokers are logistics experts, not refund strategists. A recovery effort requires coordinated input from finance, tax, legal, and operations. The CFO must own the process.</w:t>
            </w:r>
          </w:p>
        </w:tc>
      </w:tr>
    </w:tbl>
    <w:p w14:paraId="038F4E7D"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7DCB86D0"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2BC2D4B3"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6C668ED9" w14:textId="77777777" w:rsidR="008B0E2C" w:rsidRDefault="00000000">
            <w:pPr>
              <w:spacing w:after="36"/>
            </w:pPr>
            <w:r>
              <w:rPr>
                <w:b/>
                <w:bCs/>
                <w:color w:val="FF6B6B"/>
                <w:sz w:val="21"/>
                <w:szCs w:val="21"/>
              </w:rPr>
              <w:t>Failing to verify HTS code accuracy</w:t>
            </w:r>
          </w:p>
          <w:p w14:paraId="35830109" w14:textId="77777777" w:rsidR="008B0E2C" w:rsidRDefault="00000000">
            <w:pPr>
              <w:spacing w:line="264" w:lineRule="auto"/>
            </w:pPr>
            <w:r>
              <w:rPr>
                <w:sz w:val="20"/>
                <w:szCs w:val="20"/>
              </w:rPr>
              <w:t>Many CPG companies discover during a refund review that their goods were miscoded on entry. A binding ruling from CBP on the correct HTS code may unlock refunds — but only if you catch it.</w:t>
            </w:r>
          </w:p>
        </w:tc>
      </w:tr>
    </w:tbl>
    <w:p w14:paraId="03FFE3E2"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4E248687"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0AD6146B"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51DA1301" w14:textId="77777777" w:rsidR="008B0E2C" w:rsidRDefault="00000000">
            <w:pPr>
              <w:spacing w:after="36"/>
            </w:pPr>
            <w:r>
              <w:rPr>
                <w:b/>
                <w:bCs/>
                <w:color w:val="FF6B6B"/>
                <w:sz w:val="21"/>
                <w:szCs w:val="21"/>
              </w:rPr>
              <w:t>Ignoring the tax implications of refund income</w:t>
            </w:r>
          </w:p>
          <w:p w14:paraId="3617E7CD" w14:textId="77777777" w:rsidR="008B0E2C" w:rsidRDefault="00000000">
            <w:pPr>
              <w:spacing w:line="264" w:lineRule="auto"/>
            </w:pPr>
            <w:r>
              <w:rPr>
                <w:sz w:val="20"/>
                <w:szCs w:val="20"/>
              </w:rPr>
              <w:t>Receiving a $1M refund check without modeling the tax consequence is a common and costly oversight. Involve your Tax Strategist before the refund is filed, not after it’s received.</w:t>
            </w:r>
          </w:p>
        </w:tc>
      </w:tr>
    </w:tbl>
    <w:p w14:paraId="6A49C7D3"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46ACDD8F"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2B83E13D"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7D64B719" w14:textId="77777777" w:rsidR="008B0E2C" w:rsidRDefault="00000000">
            <w:pPr>
              <w:spacing w:after="36"/>
            </w:pPr>
            <w:r>
              <w:rPr>
                <w:b/>
                <w:bCs/>
                <w:color w:val="FF6B6B"/>
                <w:sz w:val="21"/>
                <w:szCs w:val="21"/>
              </w:rPr>
              <w:t>Inadequate documentation</w:t>
            </w:r>
          </w:p>
          <w:p w14:paraId="1BD14766" w14:textId="77777777" w:rsidR="008B0E2C" w:rsidRDefault="00000000">
            <w:pPr>
              <w:spacing w:line="264" w:lineRule="auto"/>
            </w:pPr>
            <w:r>
              <w:rPr>
                <w:sz w:val="20"/>
                <w:szCs w:val="20"/>
              </w:rPr>
              <w:t>CBP will deny claims that lack complete supporting documentation. Commercial invoices must match entry data exactly. Bills of lading must confirm country of origin. Do not file until your documentation package is complete.</w:t>
            </w:r>
          </w:p>
        </w:tc>
      </w:tr>
    </w:tbl>
    <w:p w14:paraId="70BC980E"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9240"/>
      </w:tblGrid>
      <w:tr w:rsidR="008B0E2C" w14:paraId="67FFCE4B"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FF6B6B"/>
            <w:tcMar>
              <w:top w:w="80" w:type="dxa"/>
              <w:left w:w="0" w:type="dxa"/>
              <w:bottom w:w="80" w:type="dxa"/>
              <w:right w:w="0" w:type="dxa"/>
            </w:tcMar>
            <w:vAlign w:val="center"/>
          </w:tcPr>
          <w:p w14:paraId="0E223A83" w14:textId="77777777" w:rsidR="008B0E2C" w:rsidRDefault="00000000">
            <w:pPr>
              <w:jc w:val="center"/>
            </w:pPr>
            <w:r>
              <w:rPr>
                <w:b/>
                <w:bCs/>
                <w:color w:val="FFFFFF"/>
                <w:sz w:val="26"/>
                <w:szCs w:val="26"/>
              </w:rPr>
              <w:t>⚠</w:t>
            </w:r>
          </w:p>
        </w:tc>
        <w:tc>
          <w:tcPr>
            <w:tcW w:w="9240" w:type="dxa"/>
            <w:tcBorders>
              <w:top w:val="none" w:sz="0" w:space="0" w:color="FFFFFF"/>
              <w:left w:val="none" w:sz="0" w:space="0" w:color="FFFFFF"/>
              <w:bottom w:val="single" w:sz="2" w:space="0" w:color="FFF0F0"/>
              <w:right w:val="none" w:sz="0" w:space="0" w:color="FFFFFF"/>
            </w:tcBorders>
            <w:shd w:val="clear" w:color="auto" w:fill="FFF0F0"/>
            <w:tcMar>
              <w:top w:w="100" w:type="dxa"/>
              <w:left w:w="240" w:type="dxa"/>
              <w:bottom w:w="100" w:type="dxa"/>
              <w:right w:w="180" w:type="dxa"/>
            </w:tcMar>
          </w:tcPr>
          <w:p w14:paraId="522B7CF2" w14:textId="77777777" w:rsidR="008B0E2C" w:rsidRDefault="00000000">
            <w:pPr>
              <w:spacing w:after="36"/>
            </w:pPr>
            <w:r>
              <w:rPr>
                <w:b/>
                <w:bCs/>
                <w:color w:val="FF6B6B"/>
                <w:sz w:val="21"/>
                <w:szCs w:val="21"/>
              </w:rPr>
              <w:t>Not establishing ongoing monitoring</w:t>
            </w:r>
          </w:p>
          <w:p w14:paraId="69652315" w14:textId="77777777" w:rsidR="008B0E2C" w:rsidRDefault="00000000">
            <w:pPr>
              <w:spacing w:line="264" w:lineRule="auto"/>
            </w:pPr>
            <w:r>
              <w:rPr>
                <w:sz w:val="20"/>
                <w:szCs w:val="20"/>
              </w:rPr>
              <w:t>The tariff environment will continue to evolve. Companies that treat this as a one-time project rather than a permanent operational capability will miss future opportunities and face avoidable compliance risks.</w:t>
            </w:r>
          </w:p>
        </w:tc>
      </w:tr>
    </w:tbl>
    <w:p w14:paraId="5B9A0223" w14:textId="77777777" w:rsidR="008B0E2C" w:rsidRDefault="008B0E2C">
      <w:pPr>
        <w:spacing w:after="40"/>
      </w:pPr>
    </w:p>
    <w:p w14:paraId="3E50F253" w14:textId="77777777" w:rsidR="008B0E2C" w:rsidRDefault="008B0E2C">
      <w:pPr>
        <w:spacing w:after="160"/>
      </w:pPr>
    </w:p>
    <w:p w14:paraId="426D2C6C" w14:textId="77777777" w:rsidR="008B0E2C"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5BAF1E58"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220" w:type="dxa"/>
              <w:left w:w="440" w:type="dxa"/>
              <w:bottom w:w="120" w:type="dxa"/>
              <w:right w:w="440" w:type="dxa"/>
            </w:tcMar>
          </w:tcPr>
          <w:p w14:paraId="714E1601" w14:textId="77777777" w:rsidR="008B0E2C" w:rsidRDefault="00000000">
            <w:r>
              <w:rPr>
                <w:b/>
                <w:bCs/>
                <w:color w:val="00A878"/>
                <w:spacing w:val="300"/>
                <w:sz w:val="18"/>
                <w:szCs w:val="18"/>
              </w:rPr>
              <w:t>SECTION 7</w:t>
            </w:r>
            <w:r>
              <w:rPr>
                <w:color w:val="0099CC"/>
                <w:sz w:val="28"/>
                <w:szCs w:val="28"/>
              </w:rPr>
              <w:t xml:space="preserve">   —   </w:t>
            </w:r>
            <w:r>
              <w:rPr>
                <w:b/>
                <w:bCs/>
                <w:color w:val="FFFFFF"/>
                <w:sz w:val="40"/>
                <w:szCs w:val="40"/>
              </w:rPr>
              <w:t>How BELAY Supports CPG Finance Leaders</w:t>
            </w:r>
          </w:p>
        </w:tc>
      </w:tr>
      <w:tr w:rsidR="008B0E2C" w14:paraId="7CB1FACB" w14:textId="77777777">
        <w:tblPrEx>
          <w:tblCellMar>
            <w:top w:w="0" w:type="dxa"/>
            <w:bottom w:w="0" w:type="dxa"/>
          </w:tblCellMar>
        </w:tblPrEx>
        <w:tc>
          <w:tcPr>
            <w:tcW w:w="9720" w:type="dxa"/>
            <w:tcBorders>
              <w:top w:val="none" w:sz="0" w:space="0" w:color="FFFFFF"/>
              <w:left w:val="none" w:sz="0" w:space="0" w:color="FFFFFF"/>
              <w:bottom w:val="thick" w:sz="16" w:space="0" w:color="00A878"/>
              <w:right w:val="none" w:sz="0" w:space="0" w:color="FFFFFF"/>
            </w:tcBorders>
            <w:shd w:val="clear" w:color="auto" w:fill="005580"/>
            <w:tcMar>
              <w:top w:w="80" w:type="dxa"/>
              <w:left w:w="440" w:type="dxa"/>
              <w:bottom w:w="200" w:type="dxa"/>
              <w:right w:w="440" w:type="dxa"/>
            </w:tcMar>
          </w:tcPr>
          <w:p w14:paraId="682C0B14" w14:textId="77777777" w:rsidR="008B0E2C" w:rsidRDefault="00000000">
            <w:r>
              <w:rPr>
                <w:i/>
                <w:iCs/>
                <w:color w:val="E0F4FB"/>
              </w:rPr>
              <w:t>Elite virtual professionals who integrate — and deliver</w:t>
            </w:r>
          </w:p>
        </w:tc>
      </w:tr>
    </w:tbl>
    <w:p w14:paraId="52EF399A" w14:textId="77777777" w:rsidR="008B0E2C" w:rsidRDefault="008B0E2C">
      <w:pPr>
        <w:spacing w:after="80"/>
      </w:pPr>
    </w:p>
    <w:p w14:paraId="3E81AC87" w14:textId="77777777" w:rsidR="008B0E2C" w:rsidRDefault="00000000">
      <w:pPr>
        <w:spacing w:before="80" w:after="120" w:line="290" w:lineRule="auto"/>
      </w:pPr>
      <w:r>
        <w:rPr>
          <w:i/>
          <w:iCs/>
          <w:color w:val="1A4A6B"/>
          <w:sz w:val="24"/>
          <w:szCs w:val="24"/>
        </w:rPr>
        <w:t>BELAY Solutions is the leading provider of virtual, elite-level finance and accounting professionals for growing companies.</w:t>
      </w:r>
    </w:p>
    <w:p w14:paraId="0FC479E2" w14:textId="77777777" w:rsidR="008B0E2C" w:rsidRDefault="00000000">
      <w:pPr>
        <w:spacing w:before="60" w:after="110" w:line="284" w:lineRule="auto"/>
      </w:pPr>
      <w:r>
        <w:t>We specialize in placing exceptional people — fractional CFOs, Controllers, accounting specialists, and executive assistants — who integrate seamlessly with your team and deliver Fortune 500-caliber financial expertise. For CPG companies pursuing tariff refunds, BELAY provides the full team you need without the overhead of full-time hires.</w:t>
      </w:r>
    </w:p>
    <w:p w14:paraId="7F848779"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120"/>
      </w:tblGrid>
      <w:tr w:rsidR="008B0E2C" w14:paraId="59B5D1F4"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0077A8"/>
            <w:tcMar>
              <w:top w:w="120" w:type="dxa"/>
              <w:left w:w="80" w:type="dxa"/>
              <w:bottom w:w="120" w:type="dxa"/>
              <w:right w:w="80" w:type="dxa"/>
            </w:tcMar>
          </w:tcPr>
          <w:p w14:paraId="1A4E2BE3" w14:textId="77777777" w:rsidR="008B0E2C" w:rsidRDefault="00000000">
            <w:pPr>
              <w:spacing w:before="60"/>
              <w:jc w:val="center"/>
            </w:pPr>
            <w:r>
              <w:rPr>
                <w:rFonts w:ascii="Segoe UI Emoji" w:eastAsia="Segoe UI Emoji" w:hAnsi="Segoe UI Emoji" w:cs="Segoe UI Emoji"/>
                <w:sz w:val="32"/>
                <w:szCs w:val="32"/>
              </w:rPr>
              <w:t>💼</w:t>
            </w:r>
          </w:p>
        </w:tc>
        <w:tc>
          <w:tcPr>
            <w:tcW w:w="9160" w:type="dxa"/>
            <w:tcBorders>
              <w:top w:val="none" w:sz="0" w:space="0" w:color="FFFFFF"/>
              <w:left w:val="none" w:sz="0" w:space="0" w:color="FFFFFF"/>
              <w:bottom w:val="single" w:sz="2" w:space="0" w:color="C8E0EC"/>
              <w:right w:val="none" w:sz="0" w:space="0" w:color="FFFFFF"/>
            </w:tcBorders>
            <w:shd w:val="clear" w:color="auto" w:fill="F0FAFD"/>
            <w:tcMar>
              <w:top w:w="120" w:type="dxa"/>
              <w:left w:w="240" w:type="dxa"/>
              <w:bottom w:w="120" w:type="dxa"/>
              <w:right w:w="200" w:type="dxa"/>
            </w:tcMar>
          </w:tcPr>
          <w:p w14:paraId="43F671C4" w14:textId="77777777" w:rsidR="008B0E2C" w:rsidRDefault="00000000">
            <w:pPr>
              <w:spacing w:after="40"/>
            </w:pPr>
            <w:r>
              <w:rPr>
                <w:b/>
                <w:bCs/>
                <w:color w:val="005580"/>
              </w:rPr>
              <w:t>Fractional CFO</w:t>
            </w:r>
          </w:p>
          <w:p w14:paraId="60773EEC" w14:textId="77777777" w:rsidR="008B0E2C" w:rsidRDefault="00000000">
            <w:pPr>
              <w:spacing w:line="268" w:lineRule="auto"/>
            </w:pPr>
            <w:r>
              <w:rPr>
                <w:sz w:val="20"/>
                <w:szCs w:val="20"/>
              </w:rPr>
              <w:t>Leads the tariff recovery strategy, coordinates with customs and tax counsel, owns the financial quantification and internal controls build-out. Your strategic quarterback from day one.</w:t>
            </w:r>
          </w:p>
        </w:tc>
      </w:tr>
    </w:tbl>
    <w:p w14:paraId="2F445EE6"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120"/>
      </w:tblGrid>
      <w:tr w:rsidR="008B0E2C" w14:paraId="7B6580A5"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00A878"/>
            <w:tcMar>
              <w:top w:w="120" w:type="dxa"/>
              <w:left w:w="80" w:type="dxa"/>
              <w:bottom w:w="120" w:type="dxa"/>
              <w:right w:w="80" w:type="dxa"/>
            </w:tcMar>
          </w:tcPr>
          <w:p w14:paraId="6CF96E8D" w14:textId="77777777" w:rsidR="008B0E2C" w:rsidRDefault="00000000">
            <w:pPr>
              <w:spacing w:before="60"/>
              <w:jc w:val="center"/>
            </w:pPr>
            <w:r>
              <w:rPr>
                <w:rFonts w:ascii="Segoe UI Emoji" w:eastAsia="Segoe UI Emoji" w:hAnsi="Segoe UI Emoji" w:cs="Segoe UI Emoji"/>
                <w:sz w:val="32"/>
                <w:szCs w:val="32"/>
              </w:rPr>
              <w:t>📊</w:t>
            </w:r>
          </w:p>
        </w:tc>
        <w:tc>
          <w:tcPr>
            <w:tcW w:w="9160" w:type="dxa"/>
            <w:tcBorders>
              <w:top w:val="none" w:sz="0" w:space="0" w:color="FFFFFF"/>
              <w:left w:val="none" w:sz="0" w:space="0" w:color="FFFFFF"/>
              <w:bottom w:val="single" w:sz="2" w:space="0" w:color="C8E0EC"/>
              <w:right w:val="none" w:sz="0" w:space="0" w:color="FFFFFF"/>
            </w:tcBorders>
            <w:shd w:val="clear" w:color="auto" w:fill="F0FAF6"/>
            <w:tcMar>
              <w:top w:w="120" w:type="dxa"/>
              <w:left w:w="240" w:type="dxa"/>
              <w:bottom w:w="120" w:type="dxa"/>
              <w:right w:w="200" w:type="dxa"/>
            </w:tcMar>
          </w:tcPr>
          <w:p w14:paraId="3812FEA0" w14:textId="77777777" w:rsidR="008B0E2C" w:rsidRDefault="00000000">
            <w:pPr>
              <w:spacing w:after="40"/>
            </w:pPr>
            <w:r>
              <w:rPr>
                <w:b/>
                <w:bCs/>
                <w:color w:val="007A58"/>
              </w:rPr>
              <w:t>Virtual Controller</w:t>
            </w:r>
          </w:p>
          <w:p w14:paraId="4BBF0D13" w14:textId="77777777" w:rsidR="008B0E2C" w:rsidRDefault="00000000">
            <w:pPr>
              <w:spacing w:line="268" w:lineRule="auto"/>
            </w:pPr>
            <w:r>
              <w:rPr>
                <w:sz w:val="20"/>
                <w:szCs w:val="20"/>
              </w:rPr>
              <w:t>Manages the Duty Payment Register, coordinates documentation gathering, and oversees the financial statement treatment of refunds received.</w:t>
            </w:r>
          </w:p>
        </w:tc>
      </w:tr>
    </w:tbl>
    <w:p w14:paraId="0005259E"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120"/>
      </w:tblGrid>
      <w:tr w:rsidR="008B0E2C" w14:paraId="7B573F13"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0077A8"/>
            <w:tcMar>
              <w:top w:w="120" w:type="dxa"/>
              <w:left w:w="80" w:type="dxa"/>
              <w:bottom w:w="120" w:type="dxa"/>
              <w:right w:w="80" w:type="dxa"/>
            </w:tcMar>
          </w:tcPr>
          <w:p w14:paraId="6080D29F" w14:textId="77777777" w:rsidR="008B0E2C" w:rsidRDefault="00000000">
            <w:pPr>
              <w:spacing w:before="60"/>
              <w:jc w:val="center"/>
            </w:pPr>
            <w:r>
              <w:rPr>
                <w:rFonts w:ascii="Segoe UI Emoji" w:eastAsia="Segoe UI Emoji" w:hAnsi="Segoe UI Emoji" w:cs="Segoe UI Emoji"/>
                <w:sz w:val="32"/>
                <w:szCs w:val="32"/>
              </w:rPr>
              <w:t>📄</w:t>
            </w:r>
          </w:p>
        </w:tc>
        <w:tc>
          <w:tcPr>
            <w:tcW w:w="9160" w:type="dxa"/>
            <w:tcBorders>
              <w:top w:val="none" w:sz="0" w:space="0" w:color="FFFFFF"/>
              <w:left w:val="none" w:sz="0" w:space="0" w:color="FFFFFF"/>
              <w:bottom w:val="single" w:sz="2" w:space="0" w:color="C8E0EC"/>
              <w:right w:val="none" w:sz="0" w:space="0" w:color="FFFFFF"/>
            </w:tcBorders>
            <w:shd w:val="clear" w:color="auto" w:fill="F0FAFD"/>
            <w:tcMar>
              <w:top w:w="120" w:type="dxa"/>
              <w:left w:w="240" w:type="dxa"/>
              <w:bottom w:w="120" w:type="dxa"/>
              <w:right w:w="200" w:type="dxa"/>
            </w:tcMar>
          </w:tcPr>
          <w:p w14:paraId="491D0EC1" w14:textId="77777777" w:rsidR="008B0E2C" w:rsidRDefault="00000000">
            <w:pPr>
              <w:spacing w:after="40"/>
            </w:pPr>
            <w:r>
              <w:rPr>
                <w:b/>
                <w:bCs/>
                <w:color w:val="005580"/>
              </w:rPr>
              <w:t>Accounting Specialist</w:t>
            </w:r>
          </w:p>
          <w:p w14:paraId="7ACBE684" w14:textId="77777777" w:rsidR="008B0E2C" w:rsidRDefault="00000000">
            <w:pPr>
              <w:spacing w:line="268" w:lineRule="auto"/>
            </w:pPr>
            <w:r>
              <w:rPr>
                <w:sz w:val="20"/>
                <w:szCs w:val="20"/>
              </w:rPr>
              <w:t>Pulls and organizes import records, reconciles duty payments to the AP ledger, and prepares supporting documentation packages for filing.</w:t>
            </w:r>
          </w:p>
        </w:tc>
      </w:tr>
    </w:tbl>
    <w:p w14:paraId="5D1BB61C"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120"/>
      </w:tblGrid>
      <w:tr w:rsidR="008B0E2C" w14:paraId="5690C06C"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00A878"/>
            <w:tcMar>
              <w:top w:w="120" w:type="dxa"/>
              <w:left w:w="80" w:type="dxa"/>
              <w:bottom w:w="120" w:type="dxa"/>
              <w:right w:w="80" w:type="dxa"/>
            </w:tcMar>
          </w:tcPr>
          <w:p w14:paraId="0B2633E8" w14:textId="77777777" w:rsidR="008B0E2C" w:rsidRDefault="00000000">
            <w:pPr>
              <w:spacing w:before="60"/>
              <w:jc w:val="center"/>
            </w:pPr>
            <w:r>
              <w:rPr>
                <w:rFonts w:ascii="Segoe UI Emoji" w:eastAsia="Segoe UI Emoji" w:hAnsi="Segoe UI Emoji" w:cs="Segoe UI Emoji"/>
                <w:sz w:val="32"/>
                <w:szCs w:val="32"/>
              </w:rPr>
              <w:t>🧮</w:t>
            </w:r>
          </w:p>
        </w:tc>
        <w:tc>
          <w:tcPr>
            <w:tcW w:w="9160" w:type="dxa"/>
            <w:tcBorders>
              <w:top w:val="none" w:sz="0" w:space="0" w:color="FFFFFF"/>
              <w:left w:val="none" w:sz="0" w:space="0" w:color="FFFFFF"/>
              <w:bottom w:val="single" w:sz="2" w:space="0" w:color="C8E0EC"/>
              <w:right w:val="none" w:sz="0" w:space="0" w:color="FFFFFF"/>
            </w:tcBorders>
            <w:shd w:val="clear" w:color="auto" w:fill="F0FAF6"/>
            <w:tcMar>
              <w:top w:w="120" w:type="dxa"/>
              <w:left w:w="240" w:type="dxa"/>
              <w:bottom w:w="120" w:type="dxa"/>
              <w:right w:w="200" w:type="dxa"/>
            </w:tcMar>
          </w:tcPr>
          <w:p w14:paraId="53A1F5B1" w14:textId="77777777" w:rsidR="008B0E2C" w:rsidRDefault="00000000">
            <w:pPr>
              <w:spacing w:after="40"/>
            </w:pPr>
            <w:r>
              <w:rPr>
                <w:b/>
                <w:bCs/>
                <w:color w:val="007A58"/>
              </w:rPr>
              <w:t>Fractional Tax Strategist</w:t>
            </w:r>
          </w:p>
          <w:p w14:paraId="075B59CD" w14:textId="77777777" w:rsidR="008B0E2C" w:rsidRDefault="00000000">
            <w:pPr>
              <w:spacing w:line="268" w:lineRule="auto"/>
            </w:pPr>
            <w:r>
              <w:rPr>
                <w:sz w:val="20"/>
                <w:szCs w:val="20"/>
              </w:rPr>
              <w:t>Models tax impact of refund scenarios, advises on amended return strategy, and reviews transfer pricing implications before and after refund receipt.</w:t>
            </w:r>
          </w:p>
        </w:tc>
      </w:tr>
    </w:tbl>
    <w:p w14:paraId="0A32DCDC" w14:textId="77777777" w:rsidR="008B0E2C" w:rsidRDefault="008B0E2C">
      <w:pP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120"/>
      </w:tblGrid>
      <w:tr w:rsidR="008B0E2C" w14:paraId="2C6F35A0"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0077A8"/>
            <w:tcMar>
              <w:top w:w="120" w:type="dxa"/>
              <w:left w:w="80" w:type="dxa"/>
              <w:bottom w:w="120" w:type="dxa"/>
              <w:right w:w="80" w:type="dxa"/>
            </w:tcMar>
          </w:tcPr>
          <w:p w14:paraId="5C4F8D6E" w14:textId="77777777" w:rsidR="008B0E2C" w:rsidRDefault="00000000">
            <w:pPr>
              <w:spacing w:before="60"/>
              <w:jc w:val="center"/>
            </w:pPr>
            <w:r>
              <w:rPr>
                <w:rFonts w:ascii="Segoe UI Emoji" w:eastAsia="Segoe UI Emoji" w:hAnsi="Segoe UI Emoji" w:cs="Segoe UI Emoji"/>
                <w:sz w:val="32"/>
                <w:szCs w:val="32"/>
              </w:rPr>
              <w:t>📋</w:t>
            </w:r>
          </w:p>
        </w:tc>
        <w:tc>
          <w:tcPr>
            <w:tcW w:w="9160" w:type="dxa"/>
            <w:tcBorders>
              <w:top w:val="none" w:sz="0" w:space="0" w:color="FFFFFF"/>
              <w:left w:val="none" w:sz="0" w:space="0" w:color="FFFFFF"/>
              <w:bottom w:val="single" w:sz="2" w:space="0" w:color="C8E0EC"/>
              <w:right w:val="none" w:sz="0" w:space="0" w:color="FFFFFF"/>
            </w:tcBorders>
            <w:shd w:val="clear" w:color="auto" w:fill="F0FAFD"/>
            <w:tcMar>
              <w:top w:w="120" w:type="dxa"/>
              <w:left w:w="240" w:type="dxa"/>
              <w:bottom w:w="120" w:type="dxa"/>
              <w:right w:w="200" w:type="dxa"/>
            </w:tcMar>
          </w:tcPr>
          <w:p w14:paraId="72F1A6ED" w14:textId="77777777" w:rsidR="008B0E2C" w:rsidRDefault="00000000">
            <w:pPr>
              <w:spacing w:after="40"/>
            </w:pPr>
            <w:r>
              <w:rPr>
                <w:b/>
                <w:bCs/>
                <w:color w:val="005580"/>
              </w:rPr>
              <w:t>Executive Assistant</w:t>
            </w:r>
          </w:p>
          <w:p w14:paraId="3B9DB681" w14:textId="77777777" w:rsidR="008B0E2C" w:rsidRDefault="00000000">
            <w:pPr>
              <w:spacing w:line="268" w:lineRule="auto"/>
            </w:pPr>
            <w:r>
              <w:rPr>
                <w:sz w:val="20"/>
                <w:szCs w:val="20"/>
              </w:rPr>
              <w:t>Manages customs attorney relationships, tracks filing deadlines and CBP correspondence, and coordinates cross-functional communications throughout the process.</w:t>
            </w:r>
          </w:p>
        </w:tc>
      </w:tr>
    </w:tbl>
    <w:p w14:paraId="41690EE5" w14:textId="77777777" w:rsidR="008B0E2C" w:rsidRDefault="008B0E2C">
      <w:pPr>
        <w:spacing w:after="40"/>
      </w:pPr>
    </w:p>
    <w:p w14:paraId="766D43E0" w14:textId="77777777" w:rsidR="008B0E2C" w:rsidRDefault="008B0E2C">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060B3C01" w14:textId="77777777">
        <w:tblPrEx>
          <w:tblCellMar>
            <w:top w:w="0" w:type="dxa"/>
            <w:bottom w:w="0" w:type="dxa"/>
          </w:tblCellMar>
        </w:tblPrEx>
        <w:tc>
          <w:tcPr>
            <w:tcW w:w="9720" w:type="dxa"/>
            <w:tcBorders>
              <w:top w:val="none" w:sz="0" w:space="0" w:color="FFFFFF"/>
              <w:left w:val="none" w:sz="0" w:space="0" w:color="FFFFFF"/>
              <w:bottom w:val="single" w:sz="6" w:space="0" w:color="00A878"/>
              <w:right w:val="none" w:sz="0" w:space="0" w:color="FFFFFF"/>
            </w:tcBorders>
            <w:shd w:val="clear" w:color="auto" w:fill="FFFFFF"/>
            <w:tcMar>
              <w:top w:w="120" w:type="dxa"/>
              <w:left w:w="0" w:type="dxa"/>
              <w:bottom w:w="80" w:type="dxa"/>
              <w:right w:w="0" w:type="dxa"/>
            </w:tcMar>
          </w:tcPr>
          <w:p w14:paraId="58D1DCAA" w14:textId="77777777" w:rsidR="008B0E2C" w:rsidRDefault="00000000">
            <w:r>
              <w:rPr>
                <w:b/>
                <w:bCs/>
                <w:color w:val="005580"/>
                <w:sz w:val="30"/>
                <w:szCs w:val="30"/>
              </w:rPr>
              <w:t>Why CPG Leaders Choose BELAY</w:t>
            </w:r>
          </w:p>
        </w:tc>
      </w:tr>
    </w:tbl>
    <w:p w14:paraId="7809A875" w14:textId="77777777" w:rsidR="008B0E2C" w:rsidRDefault="008B0E2C">
      <w:pPr>
        <w:spacing w:after="40"/>
      </w:pPr>
    </w:p>
    <w:tbl>
      <w:tblPr>
        <w:tblW w:w="972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0"/>
        <w:gridCol w:w="440"/>
        <w:gridCol w:w="4640"/>
      </w:tblGrid>
      <w:tr w:rsidR="008B0E2C" w14:paraId="12AFE6E4"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25909641" w14:textId="77777777" w:rsidR="008B0E2C" w:rsidRDefault="00000000">
            <w:pPr>
              <w:spacing w:after="80"/>
            </w:pPr>
            <w:proofErr w:type="gramStart"/>
            <w:r>
              <w:rPr>
                <w:color w:val="0077A8"/>
                <w:sz w:val="26"/>
                <w:szCs w:val="26"/>
              </w:rPr>
              <w:t xml:space="preserve">✓  </w:t>
            </w:r>
            <w:r>
              <w:rPr>
                <w:b/>
                <w:bCs/>
                <w:color w:val="005580"/>
              </w:rPr>
              <w:t>Elite</w:t>
            </w:r>
            <w:proofErr w:type="gramEnd"/>
            <w:r>
              <w:rPr>
                <w:b/>
                <w:bCs/>
                <w:color w:val="005580"/>
              </w:rPr>
              <w:t xml:space="preserve"> Talent, </w:t>
            </w:r>
            <w:proofErr w:type="gramStart"/>
            <w:r>
              <w:rPr>
                <w:b/>
                <w:bCs/>
                <w:color w:val="005580"/>
              </w:rPr>
              <w:t>Right-Sized</w:t>
            </w:r>
            <w:proofErr w:type="gramEnd"/>
          </w:p>
          <w:p w14:paraId="36E0F7EE" w14:textId="77777777" w:rsidR="008B0E2C" w:rsidRDefault="00000000">
            <w:pPr>
              <w:spacing w:line="268" w:lineRule="auto"/>
            </w:pPr>
            <w:r>
              <w:rPr>
                <w:sz w:val="20"/>
                <w:szCs w:val="20"/>
              </w:rPr>
              <w:t>BELAY professionals are W-2 employees vetted for excellence — not gig workers or generalists. Every professional we place has deep functional expertise and a track record of high-stakes delivery.</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F9447C4"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26921008" w14:textId="77777777" w:rsidR="008B0E2C" w:rsidRDefault="00000000">
            <w:pPr>
              <w:spacing w:after="80"/>
            </w:pPr>
            <w:proofErr w:type="gramStart"/>
            <w:r>
              <w:rPr>
                <w:color w:val="00A878"/>
                <w:sz w:val="26"/>
                <w:szCs w:val="26"/>
              </w:rPr>
              <w:t xml:space="preserve">✓  </w:t>
            </w:r>
            <w:r>
              <w:rPr>
                <w:b/>
                <w:bCs/>
                <w:color w:val="007A58"/>
              </w:rPr>
              <w:t>No</w:t>
            </w:r>
            <w:proofErr w:type="gramEnd"/>
            <w:r>
              <w:rPr>
                <w:b/>
                <w:bCs/>
                <w:color w:val="007A58"/>
              </w:rPr>
              <w:t xml:space="preserve"> Ramp, No Risk</w:t>
            </w:r>
          </w:p>
          <w:p w14:paraId="4C7DD70D" w14:textId="77777777" w:rsidR="008B0E2C" w:rsidRDefault="00000000">
            <w:pPr>
              <w:spacing w:line="268" w:lineRule="auto"/>
            </w:pPr>
            <w:r>
              <w:rPr>
                <w:sz w:val="20"/>
                <w:szCs w:val="20"/>
              </w:rPr>
              <w:t>Our professionals integrate in days, not months. We match your tools, processes, and communication style from day one — no training delays, no ramp-up costs.</w:t>
            </w:r>
          </w:p>
        </w:tc>
      </w:tr>
      <w:tr w:rsidR="008B0E2C" w14:paraId="13DCF3EC" w14:textId="77777777">
        <w:tblPrEx>
          <w:tblCellMar>
            <w:top w:w="0" w:type="dxa"/>
            <w:bottom w:w="0" w:type="dxa"/>
          </w:tblCellMar>
        </w:tblPrEx>
        <w:tc>
          <w:tcPr>
            <w:tcW w:w="9720" w:type="dxa"/>
            <w:gridSpan w:val="3"/>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1397227" w14:textId="77777777" w:rsidR="008B0E2C" w:rsidRDefault="008B0E2C"/>
        </w:tc>
      </w:tr>
      <w:tr w:rsidR="008B0E2C" w14:paraId="294B64E2" w14:textId="77777777">
        <w:tblPrEx>
          <w:tblCellMar>
            <w:top w:w="0" w:type="dxa"/>
            <w:bottom w:w="0" w:type="dxa"/>
          </w:tblCellMar>
        </w:tblPrEx>
        <w:tc>
          <w:tcPr>
            <w:tcW w:w="4640" w:type="dxa"/>
            <w:tcBorders>
              <w:top w:val="thick" w:sz="16" w:space="0" w:color="0077A8"/>
              <w:left w:val="single" w:sz="2" w:space="0" w:color="C8E0EC"/>
              <w:bottom w:val="single" w:sz="2" w:space="0" w:color="C8E0EC"/>
              <w:right w:val="single" w:sz="2" w:space="0" w:color="C8E0EC"/>
            </w:tcBorders>
            <w:shd w:val="clear" w:color="auto" w:fill="F0FAFD"/>
            <w:tcMar>
              <w:top w:w="200" w:type="dxa"/>
              <w:left w:w="240" w:type="dxa"/>
              <w:bottom w:w="200" w:type="dxa"/>
              <w:right w:w="200" w:type="dxa"/>
            </w:tcMar>
          </w:tcPr>
          <w:p w14:paraId="1E866F97" w14:textId="77777777" w:rsidR="008B0E2C" w:rsidRDefault="00000000">
            <w:pPr>
              <w:spacing w:after="80"/>
            </w:pPr>
            <w:proofErr w:type="gramStart"/>
            <w:r>
              <w:rPr>
                <w:color w:val="0077A8"/>
                <w:sz w:val="26"/>
                <w:szCs w:val="26"/>
              </w:rPr>
              <w:t xml:space="preserve">✓  </w:t>
            </w:r>
            <w:r>
              <w:rPr>
                <w:b/>
                <w:bCs/>
                <w:color w:val="005580"/>
              </w:rPr>
              <w:t>Flexible</w:t>
            </w:r>
            <w:proofErr w:type="gramEnd"/>
            <w:r>
              <w:rPr>
                <w:b/>
                <w:bCs/>
                <w:color w:val="005580"/>
              </w:rPr>
              <w:t xml:space="preserve"> Engagement</w:t>
            </w:r>
          </w:p>
          <w:p w14:paraId="2673C471" w14:textId="77777777" w:rsidR="008B0E2C" w:rsidRDefault="00000000">
            <w:pPr>
              <w:spacing w:line="268" w:lineRule="auto"/>
            </w:pPr>
            <w:r>
              <w:rPr>
                <w:sz w:val="20"/>
                <w:szCs w:val="20"/>
              </w:rPr>
              <w:t>Whether you need 10 hours per month or full-time support for a tariff recovery sprint, BELAY scales precisely to your needs — and scales back when the work is done.</w:t>
            </w:r>
          </w:p>
        </w:tc>
        <w:tc>
          <w:tcPr>
            <w:tcW w:w="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4243F74F" w14:textId="77777777" w:rsidR="008B0E2C" w:rsidRDefault="008B0E2C"/>
        </w:tc>
        <w:tc>
          <w:tcPr>
            <w:tcW w:w="4640" w:type="dxa"/>
            <w:tcBorders>
              <w:top w:val="thick" w:sz="16" w:space="0" w:color="00A878"/>
              <w:left w:val="single" w:sz="2" w:space="0" w:color="C8E0EC"/>
              <w:bottom w:val="single" w:sz="2" w:space="0" w:color="C8E0EC"/>
              <w:right w:val="single" w:sz="2" w:space="0" w:color="C8E0EC"/>
            </w:tcBorders>
            <w:shd w:val="clear" w:color="auto" w:fill="F0FAF6"/>
            <w:tcMar>
              <w:top w:w="200" w:type="dxa"/>
              <w:left w:w="240" w:type="dxa"/>
              <w:bottom w:w="200" w:type="dxa"/>
              <w:right w:w="200" w:type="dxa"/>
            </w:tcMar>
          </w:tcPr>
          <w:p w14:paraId="44736223" w14:textId="77777777" w:rsidR="008B0E2C" w:rsidRDefault="00000000">
            <w:pPr>
              <w:spacing w:after="80"/>
            </w:pPr>
            <w:proofErr w:type="gramStart"/>
            <w:r>
              <w:rPr>
                <w:color w:val="00A878"/>
                <w:sz w:val="26"/>
                <w:szCs w:val="26"/>
              </w:rPr>
              <w:t xml:space="preserve">✓  </w:t>
            </w:r>
            <w:r>
              <w:rPr>
                <w:b/>
                <w:bCs/>
                <w:color w:val="007A58"/>
              </w:rPr>
              <w:t>Trusted</w:t>
            </w:r>
            <w:proofErr w:type="gramEnd"/>
            <w:r>
              <w:rPr>
                <w:b/>
                <w:bCs/>
                <w:color w:val="007A58"/>
              </w:rPr>
              <w:t xml:space="preserve"> by CPG Brands</w:t>
            </w:r>
          </w:p>
          <w:p w14:paraId="19889F13" w14:textId="77777777" w:rsidR="008B0E2C" w:rsidRDefault="00000000">
            <w:pPr>
              <w:spacing w:line="268" w:lineRule="auto"/>
            </w:pPr>
            <w:r>
              <w:rPr>
                <w:sz w:val="20"/>
                <w:szCs w:val="20"/>
              </w:rPr>
              <w:t>BELAY has partnered with hundreds of consumer brands navigating financial complexity — from rapid growth to regulatory challenges. We know your world.</w:t>
            </w:r>
          </w:p>
        </w:tc>
      </w:tr>
    </w:tbl>
    <w:p w14:paraId="4C6A08CB" w14:textId="77777777" w:rsidR="008B0E2C" w:rsidRDefault="008B0E2C">
      <w:pPr>
        <w:spacing w:after="1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8B0E2C" w14:paraId="262A7AB1"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A878"/>
            <w:tcMar>
              <w:top w:w="55" w:type="dxa"/>
              <w:left w:w="0" w:type="dxa"/>
              <w:bottom w:w="55" w:type="dxa"/>
              <w:right w:w="0" w:type="dxa"/>
            </w:tcMar>
          </w:tcPr>
          <w:p w14:paraId="1AE033A8" w14:textId="77777777" w:rsidR="008B0E2C" w:rsidRDefault="008B0E2C"/>
        </w:tc>
      </w:tr>
      <w:tr w:rsidR="008B0E2C" w14:paraId="4D5AEB7B"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3D5C"/>
            <w:tcMar>
              <w:top w:w="560" w:type="dxa"/>
              <w:left w:w="640" w:type="dxa"/>
              <w:bottom w:w="560" w:type="dxa"/>
              <w:right w:w="640" w:type="dxa"/>
            </w:tcMar>
          </w:tcPr>
          <w:p w14:paraId="46B196CA" w14:textId="77777777" w:rsidR="008B0E2C" w:rsidRDefault="00000000">
            <w:pPr>
              <w:spacing w:after="80"/>
              <w:jc w:val="center"/>
            </w:pPr>
            <w:r>
              <w:rPr>
                <w:b/>
                <w:bCs/>
                <w:color w:val="FFFFFF"/>
                <w:sz w:val="52"/>
                <w:szCs w:val="52"/>
              </w:rPr>
              <w:t>Ready to Recover What’s Yours?</w:t>
            </w:r>
          </w:p>
          <w:p w14:paraId="25F2AFF5" w14:textId="77777777" w:rsidR="008B0E2C" w:rsidRDefault="00000000">
            <w:pPr>
              <w:spacing w:after="200"/>
              <w:jc w:val="center"/>
            </w:pPr>
            <w:r>
              <w:rPr>
                <w:i/>
                <w:iCs/>
                <w:color w:val="E0F4FB"/>
                <w:sz w:val="24"/>
                <w:szCs w:val="24"/>
              </w:rPr>
              <w:t>Most CPG companies don’t know how much they’ve overpaid in tariffs. BELAY helps you find out — and get it back.</w:t>
            </w:r>
          </w:p>
          <w:p w14:paraId="6A55050C" w14:textId="77777777" w:rsidR="008B0E2C" w:rsidRDefault="00000000">
            <w:pPr>
              <w:spacing w:after="120"/>
              <w:jc w:val="center"/>
            </w:pPr>
            <w:r>
              <w:rPr>
                <w:color w:val="FFFFFF"/>
              </w:rPr>
              <w:t>Schedule a Tariff Recovery Discovery Call with a BELAY Fractional CFO today.</w:t>
            </w:r>
          </w:p>
          <w:p w14:paraId="5AAF7C4B" w14:textId="091A7E95" w:rsidR="008B0E2C" w:rsidRDefault="005E4090">
            <w:pPr>
              <w:spacing w:before="100" w:after="100"/>
              <w:jc w:val="center"/>
            </w:pPr>
            <w:r>
              <w:rPr>
                <w:b/>
                <w:bCs/>
                <w:color w:val="00A878"/>
                <w:sz w:val="30"/>
                <w:szCs w:val="30"/>
              </w:rPr>
              <w:t>https://</w:t>
            </w:r>
            <w:r w:rsidR="00BF5A41">
              <w:rPr>
                <w:b/>
                <w:bCs/>
                <w:color w:val="00A878"/>
                <w:sz w:val="30"/>
                <w:szCs w:val="30"/>
              </w:rPr>
              <w:t>resources.</w:t>
            </w:r>
            <w:r w:rsidR="00000000">
              <w:rPr>
                <w:b/>
                <w:bCs/>
                <w:color w:val="00A878"/>
                <w:sz w:val="30"/>
                <w:szCs w:val="30"/>
              </w:rPr>
              <w:t>belaysolutions.com/tariff-recovery</w:t>
            </w:r>
          </w:p>
          <w:p w14:paraId="19402868" w14:textId="77777777" w:rsidR="008B0E2C" w:rsidRDefault="00000000">
            <w:pPr>
              <w:spacing w:before="80"/>
              <w:jc w:val="center"/>
            </w:pPr>
            <w:r>
              <w:rPr>
                <w:color w:val="E0F4FB"/>
                <w:sz w:val="20"/>
                <w:szCs w:val="20"/>
              </w:rPr>
              <w:t>No commitment. No obligation. Just clarity on what you’re leaving on the table.</w:t>
            </w:r>
          </w:p>
        </w:tc>
      </w:tr>
      <w:tr w:rsidR="008B0E2C" w14:paraId="4D23596D"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0077A8"/>
            <w:tcMar>
              <w:top w:w="55" w:type="dxa"/>
              <w:left w:w="0" w:type="dxa"/>
              <w:bottom w:w="55" w:type="dxa"/>
              <w:right w:w="0" w:type="dxa"/>
            </w:tcMar>
          </w:tcPr>
          <w:p w14:paraId="3408B563" w14:textId="77777777" w:rsidR="008B0E2C" w:rsidRDefault="008B0E2C"/>
        </w:tc>
      </w:tr>
    </w:tbl>
    <w:p w14:paraId="602A88DB" w14:textId="77777777" w:rsidR="008B0E2C" w:rsidRDefault="008B0E2C">
      <w:pPr>
        <w:spacing w:after="160"/>
      </w:pPr>
    </w:p>
    <w:p w14:paraId="5AD126BA" w14:textId="77777777" w:rsidR="008B0E2C" w:rsidRDefault="008B0E2C">
      <w:pPr>
        <w:pBdr>
          <w:bottom w:val="single" w:sz="4" w:space="1" w:color="C8E0EC"/>
        </w:pBdr>
        <w:spacing w:before="240" w:after="240"/>
      </w:pPr>
    </w:p>
    <w:p w14:paraId="24C7A05D" w14:textId="77777777" w:rsidR="008B0E2C" w:rsidRDefault="00000000">
      <w:pPr>
        <w:spacing w:before="80" w:after="40"/>
      </w:pPr>
      <w:r>
        <w:rPr>
          <w:b/>
          <w:bCs/>
          <w:color w:val="4A6B7A"/>
          <w:sz w:val="17"/>
          <w:szCs w:val="17"/>
        </w:rPr>
        <w:t>Legal Disclaimer</w:t>
      </w:r>
    </w:p>
    <w:p w14:paraId="195FCDC1" w14:textId="77777777" w:rsidR="008B0E2C" w:rsidRDefault="00000000">
      <w:pPr>
        <w:spacing w:line="236" w:lineRule="auto"/>
      </w:pPr>
      <w:r>
        <w:rPr>
          <w:color w:val="4A6B7A"/>
          <w:sz w:val="16"/>
          <w:szCs w:val="16"/>
        </w:rPr>
        <w:t>This guide is intended for informational purposes only and does not constitute legal, tax, or customs advice. The tariff refund processes described herein are complex, fact-specific, and subject to frequent regulatory change. CPG companies should engage qualified customs counsel, licensed tax professionals, and certified public accountants before initiating any refund claim. BELAY Solutions does not provide legal or customs brokerage services. All outcomes referenced are illustrative and not guarantees of recovery. © 2026 BELAY Solutions. All rights reserved.</w:t>
      </w:r>
    </w:p>
    <w:sectPr w:rsidR="008B0E2C">
      <w:headerReference w:type="default" r:id="rId7"/>
      <w:footerReference w:type="default" r:id="rId8"/>
      <w:pgSz w:w="12240" w:h="15840"/>
      <w:pgMar w:top="1000" w:right="1260" w:bottom="100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116D" w14:textId="77777777" w:rsidR="00132BA9" w:rsidRDefault="00132BA9">
      <w:r>
        <w:separator/>
      </w:r>
    </w:p>
  </w:endnote>
  <w:endnote w:type="continuationSeparator" w:id="0">
    <w:p w14:paraId="29C66DFE" w14:textId="77777777" w:rsidR="00132BA9" w:rsidRDefault="001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07E" w14:textId="77777777" w:rsidR="008B0E2C" w:rsidRDefault="00000000">
    <w:pPr>
      <w:pBdr>
        <w:top w:val="single" w:sz="4" w:space="4" w:color="E8F4F8"/>
      </w:pBdr>
      <w:tabs>
        <w:tab w:val="right" w:pos="9026"/>
      </w:tabs>
    </w:pPr>
    <w:r>
      <w:rPr>
        <w:color w:val="4A6B7A"/>
        <w:sz w:val="16"/>
        <w:szCs w:val="16"/>
      </w:rPr>
      <w:t>© 2026 BELAY Solutions  |  belaysolutions.com  |  All Rights Reserved</w:t>
    </w:r>
    <w:r>
      <w:rPr>
        <w:color w:val="4A6B7A"/>
        <w:sz w:val="16"/>
        <w:szCs w:val="16"/>
      </w:rPr>
      <w:tab/>
      <w:t xml:space="preserve">Page </w:t>
    </w:r>
    <w:r>
      <w:fldChar w:fldCharType="begin"/>
    </w:r>
    <w:r>
      <w:instrText>[object Object]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F095" w14:textId="77777777" w:rsidR="00132BA9" w:rsidRDefault="00132BA9">
      <w:r>
        <w:separator/>
      </w:r>
    </w:p>
  </w:footnote>
  <w:footnote w:type="continuationSeparator" w:id="0">
    <w:p w14:paraId="434EAEFC" w14:textId="77777777" w:rsidR="00132BA9" w:rsidRDefault="0013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4560"/>
      <w:gridCol w:w="1560"/>
    </w:tblGrid>
    <w:tr w:rsidR="008B0E2C" w14:paraId="4A39EED7"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shd w:val="clear" w:color="auto" w:fill="003D5C"/>
          <w:tcMar>
            <w:top w:w="70" w:type="dxa"/>
            <w:left w:w="200" w:type="dxa"/>
            <w:bottom w:w="70" w:type="dxa"/>
            <w:right w:w="120" w:type="dxa"/>
          </w:tcMar>
          <w:vAlign w:val="center"/>
        </w:tcPr>
        <w:p w14:paraId="0F599556" w14:textId="77777777" w:rsidR="008B0E2C" w:rsidRDefault="00000000">
          <w:r>
            <w:rPr>
              <w:b/>
              <w:bCs/>
              <w:color w:val="FFFFFF"/>
            </w:rPr>
            <w:t xml:space="preserve">BELAY </w:t>
          </w:r>
          <w:r>
            <w:rPr>
              <w:color w:val="E0F4FB"/>
            </w:rPr>
            <w:t>Solutions</w:t>
          </w:r>
        </w:p>
      </w:tc>
      <w:tc>
        <w:tcPr>
          <w:tcW w:w="4560" w:type="dxa"/>
          <w:tcBorders>
            <w:top w:val="none" w:sz="0" w:space="0" w:color="FFFFFF"/>
            <w:left w:val="none" w:sz="0" w:space="0" w:color="FFFFFF"/>
            <w:bottom w:val="none" w:sz="0" w:space="0" w:color="FFFFFF"/>
            <w:right w:val="none" w:sz="0" w:space="0" w:color="FFFFFF"/>
          </w:tcBorders>
          <w:shd w:val="clear" w:color="auto" w:fill="0077A8"/>
          <w:tcMar>
            <w:top w:w="70" w:type="dxa"/>
            <w:left w:w="200" w:type="dxa"/>
            <w:bottom w:w="70" w:type="dxa"/>
            <w:right w:w="200" w:type="dxa"/>
          </w:tcMar>
          <w:vAlign w:val="center"/>
        </w:tcPr>
        <w:p w14:paraId="7AC2B086" w14:textId="77777777" w:rsidR="008B0E2C" w:rsidRDefault="00000000">
          <w:pPr>
            <w:jc w:val="center"/>
          </w:pPr>
          <w:r>
            <w:rPr>
              <w:color w:val="E0F4FB"/>
              <w:sz w:val="17"/>
              <w:szCs w:val="17"/>
            </w:rPr>
            <w:t>Tariff Refund Recovery Guide  |  CPG Edition</w:t>
          </w:r>
        </w:p>
      </w:tc>
      <w:tc>
        <w:tcPr>
          <w:tcW w:w="1560" w:type="dxa"/>
          <w:tcBorders>
            <w:top w:val="none" w:sz="0" w:space="0" w:color="FFFFFF"/>
            <w:left w:val="none" w:sz="0" w:space="0" w:color="FFFFFF"/>
            <w:bottom w:val="none" w:sz="0" w:space="0" w:color="FFFFFF"/>
            <w:right w:val="none" w:sz="0" w:space="0" w:color="FFFFFF"/>
          </w:tcBorders>
          <w:shd w:val="clear" w:color="auto" w:fill="00A878"/>
          <w:tcMar>
            <w:top w:w="70" w:type="dxa"/>
            <w:left w:w="120" w:type="dxa"/>
            <w:bottom w:w="70" w:type="dxa"/>
            <w:right w:w="160" w:type="dxa"/>
          </w:tcMar>
          <w:vAlign w:val="center"/>
        </w:tcPr>
        <w:p w14:paraId="19FAEBEF" w14:textId="77777777" w:rsidR="008B0E2C" w:rsidRDefault="00000000">
          <w:pPr>
            <w:jc w:val="center"/>
          </w:pPr>
          <w:r>
            <w:rPr>
              <w:b/>
              <w:bCs/>
              <w:color w:val="FFFFFF"/>
            </w:rPr>
            <w:t>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755"/>
    <w:multiLevelType w:val="hybridMultilevel"/>
    <w:tmpl w:val="F59C0028"/>
    <w:lvl w:ilvl="0" w:tplc="5F2C7804">
      <w:start w:val="1"/>
      <w:numFmt w:val="bullet"/>
      <w:lvlText w:val="●"/>
      <w:lvlJc w:val="left"/>
      <w:pPr>
        <w:ind w:left="640" w:hanging="320"/>
      </w:pPr>
      <w:rPr>
        <w:color w:val="00A878"/>
        <w:sz w:val="16"/>
        <w:szCs w:val="16"/>
      </w:rPr>
    </w:lvl>
    <w:lvl w:ilvl="1" w:tplc="9CAE656A">
      <w:numFmt w:val="decimal"/>
      <w:lvlText w:val=""/>
      <w:lvlJc w:val="left"/>
    </w:lvl>
    <w:lvl w:ilvl="2" w:tplc="2F18138A">
      <w:numFmt w:val="decimal"/>
      <w:lvlText w:val=""/>
      <w:lvlJc w:val="left"/>
    </w:lvl>
    <w:lvl w:ilvl="3" w:tplc="F6969704">
      <w:numFmt w:val="decimal"/>
      <w:lvlText w:val=""/>
      <w:lvlJc w:val="left"/>
    </w:lvl>
    <w:lvl w:ilvl="4" w:tplc="1D50FB88">
      <w:numFmt w:val="decimal"/>
      <w:lvlText w:val=""/>
      <w:lvlJc w:val="left"/>
    </w:lvl>
    <w:lvl w:ilvl="5" w:tplc="29A2986A">
      <w:numFmt w:val="decimal"/>
      <w:lvlText w:val=""/>
      <w:lvlJc w:val="left"/>
    </w:lvl>
    <w:lvl w:ilvl="6" w:tplc="9A34696E">
      <w:numFmt w:val="decimal"/>
      <w:lvlText w:val=""/>
      <w:lvlJc w:val="left"/>
    </w:lvl>
    <w:lvl w:ilvl="7" w:tplc="32F08D88">
      <w:numFmt w:val="decimal"/>
      <w:lvlText w:val=""/>
      <w:lvlJc w:val="left"/>
    </w:lvl>
    <w:lvl w:ilvl="8" w:tplc="FBAC7C9E">
      <w:numFmt w:val="decimal"/>
      <w:lvlText w:val=""/>
      <w:lvlJc w:val="left"/>
    </w:lvl>
  </w:abstractNum>
  <w:abstractNum w:abstractNumId="1" w15:restartNumberingAfterBreak="0">
    <w:nsid w:val="13B6586B"/>
    <w:multiLevelType w:val="hybridMultilevel"/>
    <w:tmpl w:val="A380E298"/>
    <w:lvl w:ilvl="0" w:tplc="A16E7CA8">
      <w:start w:val="1"/>
      <w:numFmt w:val="bullet"/>
      <w:lvlText w:val="●"/>
      <w:lvlJc w:val="left"/>
      <w:pPr>
        <w:ind w:left="720" w:hanging="360"/>
      </w:pPr>
    </w:lvl>
    <w:lvl w:ilvl="1" w:tplc="E0141A96">
      <w:start w:val="1"/>
      <w:numFmt w:val="bullet"/>
      <w:lvlText w:val="○"/>
      <w:lvlJc w:val="left"/>
      <w:pPr>
        <w:ind w:left="1440" w:hanging="360"/>
      </w:pPr>
    </w:lvl>
    <w:lvl w:ilvl="2" w:tplc="5E2E6EE2">
      <w:start w:val="1"/>
      <w:numFmt w:val="bullet"/>
      <w:lvlText w:val="■"/>
      <w:lvlJc w:val="left"/>
      <w:pPr>
        <w:ind w:left="2160" w:hanging="360"/>
      </w:pPr>
    </w:lvl>
    <w:lvl w:ilvl="3" w:tplc="500676E8">
      <w:start w:val="1"/>
      <w:numFmt w:val="bullet"/>
      <w:lvlText w:val="●"/>
      <w:lvlJc w:val="left"/>
      <w:pPr>
        <w:ind w:left="2880" w:hanging="360"/>
      </w:pPr>
    </w:lvl>
    <w:lvl w:ilvl="4" w:tplc="22547C50">
      <w:start w:val="1"/>
      <w:numFmt w:val="bullet"/>
      <w:lvlText w:val="○"/>
      <w:lvlJc w:val="left"/>
      <w:pPr>
        <w:ind w:left="3600" w:hanging="360"/>
      </w:pPr>
    </w:lvl>
    <w:lvl w:ilvl="5" w:tplc="9692D4BA">
      <w:start w:val="1"/>
      <w:numFmt w:val="bullet"/>
      <w:lvlText w:val="■"/>
      <w:lvlJc w:val="left"/>
      <w:pPr>
        <w:ind w:left="4320" w:hanging="360"/>
      </w:pPr>
    </w:lvl>
    <w:lvl w:ilvl="6" w:tplc="8C7E692C">
      <w:start w:val="1"/>
      <w:numFmt w:val="bullet"/>
      <w:lvlText w:val="●"/>
      <w:lvlJc w:val="left"/>
      <w:pPr>
        <w:ind w:left="5040" w:hanging="360"/>
      </w:pPr>
    </w:lvl>
    <w:lvl w:ilvl="7" w:tplc="1B0E5758">
      <w:start w:val="1"/>
      <w:numFmt w:val="bullet"/>
      <w:lvlText w:val="●"/>
      <w:lvlJc w:val="left"/>
      <w:pPr>
        <w:ind w:left="5760" w:hanging="360"/>
      </w:pPr>
    </w:lvl>
    <w:lvl w:ilvl="8" w:tplc="1E9C9EA6">
      <w:start w:val="1"/>
      <w:numFmt w:val="bullet"/>
      <w:lvlText w:val="●"/>
      <w:lvlJc w:val="left"/>
      <w:pPr>
        <w:ind w:left="6480" w:hanging="360"/>
      </w:pPr>
    </w:lvl>
  </w:abstractNum>
  <w:num w:numId="1" w16cid:durableId="1291280423">
    <w:abstractNumId w:val="1"/>
    <w:lvlOverride w:ilvl="0">
      <w:startOverride w:val="1"/>
    </w:lvlOverride>
  </w:num>
  <w:num w:numId="2" w16cid:durableId="1861968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2C"/>
    <w:rsid w:val="00132BA9"/>
    <w:rsid w:val="005E4090"/>
    <w:rsid w:val="008B0E2C"/>
    <w:rsid w:val="00AD2542"/>
    <w:rsid w:val="00B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8426B"/>
  <w15:docId w15:val="{30CA6E75-8DB8-D749-8131-0431D6E8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D2B3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005580"/>
      <w:sz w:val="48"/>
      <w:szCs w:val="48"/>
    </w:rPr>
  </w:style>
  <w:style w:type="paragraph" w:styleId="Heading2">
    <w:name w:val="heading 2"/>
    <w:uiPriority w:val="9"/>
    <w:semiHidden/>
    <w:unhideWhenUsed/>
    <w:qFormat/>
    <w:pPr>
      <w:spacing w:before="320" w:after="120"/>
      <w:outlineLvl w:val="1"/>
    </w:pPr>
    <w:rPr>
      <w:b/>
      <w:bCs/>
      <w:color w:val="1A4A6B"/>
      <w:sz w:val="30"/>
      <w:szCs w:val="30"/>
    </w:rPr>
  </w:style>
  <w:style w:type="paragraph" w:styleId="Heading3">
    <w:name w:val="heading 3"/>
    <w:uiPriority w:val="9"/>
    <w:semiHidden/>
    <w:unhideWhenUsed/>
    <w:qFormat/>
    <w:pPr>
      <w:spacing w:before="240" w:after="80"/>
      <w:outlineLvl w:val="2"/>
    </w:pPr>
    <w:rPr>
      <w:b/>
      <w:bCs/>
      <w:color w:val="0077A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3228</Words>
  <Characters>18111</Characters>
  <Application>Microsoft Office Word</Application>
  <DocSecurity>0</DocSecurity>
  <Lines>584</Lines>
  <Paragraphs>367</Paragraphs>
  <ScaleCrop>false</ScaleCrop>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 Ackerley</cp:lastModifiedBy>
  <cp:revision>3</cp:revision>
  <dcterms:created xsi:type="dcterms:W3CDTF">2026-04-22T15:15:00Z</dcterms:created>
  <dcterms:modified xsi:type="dcterms:W3CDTF">2026-04-28T19:22:00Z</dcterms:modified>
</cp:coreProperties>
</file>